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B1" w:rsidRDefault="003B0F1E">
      <w:pPr>
        <w:pStyle w:val="Title"/>
      </w:pPr>
      <w:r>
        <w:t xml:space="preserve">HARVARD </w:t>
      </w:r>
      <w:smartTag w:uri="urn:schemas-microsoft-com:office:smarttags" w:element="PlaceType">
        <w:r>
          <w:t>UNIVERSITY</w:t>
        </w:r>
      </w:smartTag>
    </w:p>
    <w:p w:rsidR="00365BB1" w:rsidRDefault="00177054">
      <w:pPr>
        <w:jc w:val="center"/>
        <w:rPr>
          <w:b/>
          <w:bCs/>
          <w:sz w:val="24"/>
        </w:rPr>
      </w:pPr>
      <w:r>
        <w:rPr>
          <w:b/>
          <w:bCs/>
          <w:sz w:val="24"/>
        </w:rPr>
        <w:t>Faculty of Arts and Sciences</w:t>
      </w:r>
    </w:p>
    <w:p w:rsidR="00626005" w:rsidRDefault="006F3BA3">
      <w:pPr>
        <w:jc w:val="center"/>
        <w:rPr>
          <w:b/>
          <w:bCs/>
          <w:sz w:val="24"/>
        </w:rPr>
      </w:pPr>
      <w:r>
        <w:rPr>
          <w:b/>
          <w:bCs/>
          <w:sz w:val="24"/>
        </w:rPr>
        <w:t>Department of Sociology</w:t>
      </w:r>
    </w:p>
    <w:p w:rsidR="003B0F1E" w:rsidRDefault="003B0F1E">
      <w:pPr>
        <w:jc w:val="center"/>
        <w:rPr>
          <w:b/>
          <w:bCs/>
          <w:sz w:val="24"/>
        </w:rPr>
      </w:pPr>
    </w:p>
    <w:p w:rsidR="003E19E1" w:rsidRDefault="003B0F1E" w:rsidP="003E19E1">
      <w:pPr>
        <w:rPr>
          <w:b/>
          <w:bCs/>
          <w:sz w:val="24"/>
        </w:rPr>
      </w:pPr>
      <w:r>
        <w:rPr>
          <w:b/>
          <w:bCs/>
          <w:sz w:val="24"/>
        </w:rPr>
        <w:t>Anthony A. Braga, Ph.D.</w:t>
      </w:r>
      <w:r w:rsidR="003E19E1">
        <w:rPr>
          <w:b/>
          <w:bCs/>
          <w:sz w:val="24"/>
        </w:rPr>
        <w:tab/>
      </w:r>
      <w:r w:rsidR="003E19E1">
        <w:rPr>
          <w:b/>
          <w:bCs/>
          <w:sz w:val="24"/>
        </w:rPr>
        <w:tab/>
      </w:r>
      <w:r w:rsidR="003E19E1">
        <w:rPr>
          <w:b/>
          <w:bCs/>
          <w:sz w:val="24"/>
        </w:rPr>
        <w:tab/>
      </w:r>
      <w:r w:rsidR="003E19E1">
        <w:rPr>
          <w:b/>
          <w:bCs/>
          <w:sz w:val="24"/>
        </w:rPr>
        <w:tab/>
      </w:r>
      <w:r w:rsidR="003E19E1">
        <w:rPr>
          <w:b/>
          <w:bCs/>
          <w:sz w:val="24"/>
        </w:rPr>
        <w:tab/>
        <w:t xml:space="preserve">Office hours:    </w:t>
      </w:r>
      <w:r w:rsidR="000F0FA7">
        <w:rPr>
          <w:b/>
          <w:bCs/>
          <w:sz w:val="24"/>
        </w:rPr>
        <w:t>Mond</w:t>
      </w:r>
      <w:r w:rsidR="001B52B1">
        <w:rPr>
          <w:b/>
          <w:bCs/>
          <w:sz w:val="24"/>
        </w:rPr>
        <w:t>ay 1</w:t>
      </w:r>
      <w:r w:rsidR="000C7F07">
        <w:rPr>
          <w:b/>
          <w:bCs/>
          <w:sz w:val="24"/>
        </w:rPr>
        <w:t>2 – 2</w:t>
      </w:r>
      <w:r w:rsidR="003E19E1">
        <w:rPr>
          <w:b/>
          <w:bCs/>
          <w:sz w:val="24"/>
        </w:rPr>
        <w:t xml:space="preserve"> pm </w:t>
      </w:r>
    </w:p>
    <w:p w:rsidR="003E19E1" w:rsidRDefault="003B0F1E" w:rsidP="003E19E1">
      <w:pPr>
        <w:rPr>
          <w:b/>
          <w:bCs/>
          <w:sz w:val="24"/>
        </w:rPr>
      </w:pPr>
      <w:smartTag w:uri="urn:schemas-microsoft-com:office:smarttags" w:element="place">
        <w:smartTag w:uri="urn:schemas-microsoft-com:office:smarttags" w:element="PlaceName">
          <w:r>
            <w:rPr>
              <w:b/>
              <w:bCs/>
              <w:sz w:val="24"/>
            </w:rPr>
            <w:t>Kennedy</w:t>
          </w:r>
        </w:smartTag>
        <w:r>
          <w:rPr>
            <w:b/>
            <w:bCs/>
            <w:sz w:val="24"/>
          </w:rPr>
          <w:t xml:space="preserve"> </w:t>
        </w:r>
        <w:smartTag w:uri="urn:schemas-microsoft-com:office:smarttags" w:element="PlaceType">
          <w:r>
            <w:rPr>
              <w:b/>
              <w:bCs/>
              <w:sz w:val="24"/>
            </w:rPr>
            <w:t>School</w:t>
          </w:r>
        </w:smartTag>
      </w:smartTag>
      <w:r>
        <w:rPr>
          <w:b/>
          <w:bCs/>
          <w:sz w:val="24"/>
        </w:rPr>
        <w:t xml:space="preserve"> of Government</w:t>
      </w:r>
      <w:r w:rsidR="003E19E1" w:rsidRPr="003E19E1">
        <w:rPr>
          <w:b/>
          <w:bCs/>
          <w:sz w:val="24"/>
        </w:rPr>
        <w:t xml:space="preserve"> </w:t>
      </w:r>
      <w:r w:rsidR="003E19E1">
        <w:rPr>
          <w:b/>
          <w:bCs/>
          <w:sz w:val="24"/>
        </w:rPr>
        <w:tab/>
      </w:r>
      <w:r w:rsidR="003E19E1">
        <w:rPr>
          <w:b/>
          <w:bCs/>
          <w:sz w:val="24"/>
        </w:rPr>
        <w:tab/>
      </w:r>
      <w:r w:rsidR="003E19E1">
        <w:rPr>
          <w:b/>
          <w:bCs/>
          <w:sz w:val="24"/>
        </w:rPr>
        <w:tab/>
      </w:r>
      <w:r w:rsidR="003E19E1">
        <w:rPr>
          <w:b/>
          <w:bCs/>
          <w:sz w:val="24"/>
        </w:rPr>
        <w:tab/>
        <w:t xml:space="preserve">                          or by appointment</w:t>
      </w:r>
    </w:p>
    <w:p w:rsidR="003B0F1E" w:rsidRDefault="006F3BA3" w:rsidP="003E19E1">
      <w:pPr>
        <w:rPr>
          <w:b/>
          <w:bCs/>
          <w:sz w:val="24"/>
        </w:rPr>
      </w:pPr>
      <w:proofErr w:type="spellStart"/>
      <w:r>
        <w:rPr>
          <w:b/>
          <w:bCs/>
          <w:sz w:val="24"/>
        </w:rPr>
        <w:t>Taubman</w:t>
      </w:r>
      <w:proofErr w:type="spellEnd"/>
      <w:r>
        <w:rPr>
          <w:b/>
          <w:bCs/>
          <w:sz w:val="24"/>
        </w:rPr>
        <w:t xml:space="preserve"> 456</w:t>
      </w:r>
    </w:p>
    <w:p w:rsidR="006F3BA3" w:rsidRDefault="003B0F1E" w:rsidP="003E19E1">
      <w:pPr>
        <w:rPr>
          <w:b/>
          <w:bCs/>
          <w:sz w:val="24"/>
        </w:rPr>
      </w:pPr>
      <w:r>
        <w:rPr>
          <w:b/>
          <w:bCs/>
          <w:sz w:val="24"/>
        </w:rPr>
        <w:t>Voice: 617.495.5188</w:t>
      </w:r>
      <w:r w:rsidR="003E19E1">
        <w:rPr>
          <w:b/>
          <w:bCs/>
          <w:sz w:val="24"/>
        </w:rPr>
        <w:tab/>
      </w:r>
      <w:r w:rsidR="003E19E1">
        <w:rPr>
          <w:b/>
          <w:bCs/>
          <w:sz w:val="24"/>
        </w:rPr>
        <w:tab/>
      </w:r>
    </w:p>
    <w:p w:rsidR="003B0F1E" w:rsidRDefault="003B0F1E" w:rsidP="003E19E1">
      <w:pPr>
        <w:rPr>
          <w:b/>
          <w:bCs/>
          <w:sz w:val="24"/>
        </w:rPr>
      </w:pPr>
      <w:r>
        <w:rPr>
          <w:b/>
          <w:bCs/>
          <w:sz w:val="24"/>
        </w:rPr>
        <w:t xml:space="preserve">Email: </w:t>
      </w:r>
      <w:r w:rsidR="003E19E1" w:rsidRPr="003E19E1">
        <w:rPr>
          <w:b/>
          <w:bCs/>
          <w:sz w:val="24"/>
        </w:rPr>
        <w:t>Anthony_Braga@harvard.edu</w:t>
      </w:r>
      <w:r w:rsidR="003E19E1">
        <w:rPr>
          <w:b/>
          <w:bCs/>
          <w:sz w:val="24"/>
        </w:rPr>
        <w:tab/>
      </w:r>
      <w:r w:rsidR="003E19E1">
        <w:rPr>
          <w:b/>
          <w:bCs/>
          <w:sz w:val="24"/>
        </w:rPr>
        <w:tab/>
      </w:r>
      <w:r w:rsidR="003E19E1">
        <w:rPr>
          <w:b/>
          <w:bCs/>
          <w:sz w:val="24"/>
        </w:rPr>
        <w:tab/>
      </w:r>
      <w:r w:rsidR="003E19E1">
        <w:rPr>
          <w:b/>
          <w:bCs/>
          <w:sz w:val="24"/>
        </w:rPr>
        <w:tab/>
      </w:r>
      <w:r w:rsidR="003E19E1">
        <w:rPr>
          <w:b/>
          <w:bCs/>
          <w:sz w:val="24"/>
        </w:rPr>
        <w:tab/>
      </w:r>
    </w:p>
    <w:p w:rsidR="00710FCC" w:rsidRDefault="00710FCC">
      <w:pPr>
        <w:jc w:val="center"/>
        <w:rPr>
          <w:b/>
          <w:bCs/>
          <w:sz w:val="24"/>
        </w:rPr>
      </w:pPr>
    </w:p>
    <w:p w:rsidR="009C11B6" w:rsidRDefault="009C11B6">
      <w:pPr>
        <w:jc w:val="center"/>
        <w:rPr>
          <w:b/>
          <w:bCs/>
          <w:sz w:val="24"/>
        </w:rPr>
      </w:pPr>
    </w:p>
    <w:p w:rsidR="006F3BA3" w:rsidRDefault="006F3BA3" w:rsidP="006F3BA3">
      <w:pPr>
        <w:jc w:val="center"/>
        <w:rPr>
          <w:b/>
          <w:bCs/>
          <w:sz w:val="24"/>
        </w:rPr>
      </w:pPr>
      <w:r>
        <w:rPr>
          <w:b/>
          <w:bCs/>
          <w:sz w:val="24"/>
        </w:rPr>
        <w:t>SOC 193 – Fall 2014</w:t>
      </w:r>
    </w:p>
    <w:p w:rsidR="006F3BA3" w:rsidRDefault="006F3BA3" w:rsidP="006F3BA3">
      <w:pPr>
        <w:jc w:val="center"/>
        <w:rPr>
          <w:b/>
          <w:bCs/>
          <w:sz w:val="24"/>
        </w:rPr>
      </w:pPr>
    </w:p>
    <w:p w:rsidR="006F3BA3" w:rsidRDefault="006F3BA3" w:rsidP="006F3BA3">
      <w:pPr>
        <w:pStyle w:val="Heading2"/>
        <w:rPr>
          <w:caps/>
        </w:rPr>
      </w:pPr>
      <w:r>
        <w:rPr>
          <w:caps/>
        </w:rPr>
        <w:t>CRIME, COMMUNITY, AND PUBLIC POLICY</w:t>
      </w:r>
    </w:p>
    <w:p w:rsidR="006F3BA3" w:rsidRDefault="006F3BA3" w:rsidP="006F3BA3">
      <w:pPr>
        <w:jc w:val="center"/>
        <w:rPr>
          <w:sz w:val="24"/>
        </w:rPr>
      </w:pPr>
    </w:p>
    <w:p w:rsidR="006F3BA3" w:rsidRDefault="006F3BA3" w:rsidP="006F3BA3">
      <w:pPr>
        <w:jc w:val="center"/>
        <w:rPr>
          <w:sz w:val="24"/>
        </w:rPr>
      </w:pPr>
      <w:r>
        <w:rPr>
          <w:sz w:val="24"/>
        </w:rPr>
        <w:t>Monday</w:t>
      </w:r>
      <w:r w:rsidR="002B6A1A">
        <w:rPr>
          <w:sz w:val="24"/>
        </w:rPr>
        <w:t xml:space="preserve"> and Wednesday</w:t>
      </w:r>
      <w:r>
        <w:rPr>
          <w:sz w:val="24"/>
        </w:rPr>
        <w:t>, 11:00 am – 12:00 pm, William James Hall 1</w:t>
      </w:r>
      <w:r w:rsidR="002E0A83">
        <w:rPr>
          <w:sz w:val="24"/>
        </w:rPr>
        <w:t>05</w:t>
      </w:r>
    </w:p>
    <w:p w:rsidR="00EB7781" w:rsidRDefault="006F3BA3" w:rsidP="00EB7781">
      <w:pPr>
        <w:tabs>
          <w:tab w:val="left" w:pos="2970"/>
        </w:tabs>
        <w:jc w:val="center"/>
        <w:rPr>
          <w:sz w:val="24"/>
        </w:rPr>
      </w:pPr>
      <w:r>
        <w:rPr>
          <w:sz w:val="24"/>
        </w:rPr>
        <w:t>Section</w:t>
      </w:r>
      <w:r w:rsidR="00EB7781">
        <w:rPr>
          <w:sz w:val="24"/>
        </w:rPr>
        <w:t>: Wednesday, 1:00pm – 2:00pm, CGIS K050</w:t>
      </w:r>
      <w:bookmarkStart w:id="0" w:name="_GoBack"/>
      <w:bookmarkEnd w:id="0"/>
    </w:p>
    <w:p w:rsidR="006F3BA3" w:rsidRDefault="00EB7781" w:rsidP="00EB7781">
      <w:pPr>
        <w:tabs>
          <w:tab w:val="left" w:pos="2970"/>
        </w:tabs>
        <w:rPr>
          <w:sz w:val="24"/>
        </w:rPr>
      </w:pPr>
      <w:r>
        <w:rPr>
          <w:sz w:val="24"/>
        </w:rPr>
        <w:tab/>
        <w:t>Thursday, 10:00am – 11:00am, Sever Hall 204</w:t>
      </w:r>
    </w:p>
    <w:p w:rsidR="006F3BA3" w:rsidRDefault="006F3BA3" w:rsidP="006F3BA3">
      <w:pPr>
        <w:jc w:val="center"/>
        <w:rPr>
          <w:sz w:val="24"/>
        </w:rPr>
      </w:pPr>
    </w:p>
    <w:p w:rsidR="002D2AA2" w:rsidRDefault="006F3BA3" w:rsidP="006F3BA3">
      <w:pPr>
        <w:ind w:firstLine="720"/>
        <w:rPr>
          <w:sz w:val="24"/>
        </w:rPr>
      </w:pPr>
      <w:r>
        <w:rPr>
          <w:sz w:val="24"/>
        </w:rPr>
        <w:t xml:space="preserve">This course examines criminal justice from the perspective of local communities. Questions of how local communities affect and are affected by crime and criminal justice will be addressed. A central concern will be the discussion of characteristics of neighborhoods that lead to high rates of criminality and how federal, state, and local policies not directly concerned with crime policy may nonetheless bear on crime rates. Particular attention will be paid to structural factors associated with crime, such as joblessness, and community-level institutions, such as the schools. </w:t>
      </w:r>
    </w:p>
    <w:p w:rsidR="006F3BA3" w:rsidRDefault="006F3BA3" w:rsidP="006F3BA3">
      <w:pPr>
        <w:ind w:firstLine="720"/>
        <w:rPr>
          <w:sz w:val="24"/>
        </w:rPr>
      </w:pPr>
      <w:r>
        <w:rPr>
          <w:sz w:val="24"/>
        </w:rPr>
        <w:t xml:space="preserve"> In recent years, some criminal justice system officials, sensing that the public is losing confidence in their actions, have changed their approach to fighting crime.  They have begun to devote more attention and resources to building healthy communities where criminality cannot take root and to making citizens partners rather than adversaries of the criminal justice system. We will examine the evolving role of criminal justice institutions in community-based crime prevention.  </w:t>
      </w:r>
      <w:r w:rsidRPr="00C0214F">
        <w:rPr>
          <w:sz w:val="24"/>
          <w:szCs w:val="24"/>
        </w:rPr>
        <w:t xml:space="preserve">Particular attention will be paid to drugs, guns, gangs and other urban crime problems as well as controversial topics in criminal justice, such as racial profiling and </w:t>
      </w:r>
      <w:r>
        <w:rPr>
          <w:sz w:val="24"/>
          <w:szCs w:val="24"/>
        </w:rPr>
        <w:t>immigration and crime</w:t>
      </w:r>
      <w:r w:rsidRPr="00C0214F">
        <w:rPr>
          <w:sz w:val="24"/>
          <w:szCs w:val="24"/>
        </w:rPr>
        <w:t>.</w:t>
      </w:r>
    </w:p>
    <w:p w:rsidR="0068148A" w:rsidRDefault="0068148A" w:rsidP="0068148A">
      <w:pPr>
        <w:ind w:firstLine="720"/>
        <w:rPr>
          <w:sz w:val="24"/>
          <w:szCs w:val="24"/>
        </w:rPr>
      </w:pPr>
    </w:p>
    <w:p w:rsidR="0068148A" w:rsidRDefault="0068148A" w:rsidP="0068148A">
      <w:pPr>
        <w:ind w:firstLine="720"/>
        <w:rPr>
          <w:sz w:val="24"/>
          <w:szCs w:val="24"/>
        </w:rPr>
      </w:pPr>
      <w:r w:rsidRPr="00353689">
        <w:rPr>
          <w:sz w:val="24"/>
          <w:szCs w:val="24"/>
        </w:rPr>
        <w:t xml:space="preserve">Students </w:t>
      </w:r>
      <w:r w:rsidRPr="00353689">
        <w:rPr>
          <w:i/>
          <w:sz w:val="24"/>
          <w:szCs w:val="24"/>
        </w:rPr>
        <w:t>must</w:t>
      </w:r>
      <w:r w:rsidRPr="00353689">
        <w:rPr>
          <w:sz w:val="24"/>
          <w:szCs w:val="24"/>
        </w:rPr>
        <w:t xml:space="preserve"> enroll in the class on a letter-grade basis; no pass/fail petitions will be accepted</w:t>
      </w:r>
      <w:r>
        <w:rPr>
          <w:sz w:val="24"/>
          <w:szCs w:val="24"/>
        </w:rPr>
        <w:t xml:space="preserve">.  Students also </w:t>
      </w:r>
      <w:r w:rsidRPr="00A42431">
        <w:rPr>
          <w:i/>
          <w:sz w:val="24"/>
          <w:szCs w:val="24"/>
        </w:rPr>
        <w:t>must</w:t>
      </w:r>
      <w:r>
        <w:rPr>
          <w:sz w:val="24"/>
          <w:szCs w:val="24"/>
        </w:rPr>
        <w:t xml:space="preserve"> register for the class on Study Card Day; no late additions will be accepted.</w:t>
      </w:r>
    </w:p>
    <w:p w:rsidR="0068148A" w:rsidRDefault="0068148A" w:rsidP="006F3BA3">
      <w:pPr>
        <w:ind w:firstLine="720"/>
        <w:rPr>
          <w:sz w:val="24"/>
          <w:szCs w:val="24"/>
        </w:rPr>
      </w:pPr>
    </w:p>
    <w:p w:rsidR="006F3BA3" w:rsidRDefault="002D2AA2" w:rsidP="006F3BA3">
      <w:pPr>
        <w:ind w:firstLine="720"/>
        <w:rPr>
          <w:sz w:val="24"/>
          <w:szCs w:val="24"/>
        </w:rPr>
      </w:pPr>
      <w:r>
        <w:rPr>
          <w:sz w:val="24"/>
          <w:szCs w:val="24"/>
        </w:rPr>
        <w:t>Brielle Bryan (</w:t>
      </w:r>
      <w:r w:rsidRPr="002D2AA2">
        <w:rPr>
          <w:sz w:val="24"/>
          <w:szCs w:val="24"/>
        </w:rPr>
        <w:t>briellebryan@fas.harvard.edu</w:t>
      </w:r>
      <w:r>
        <w:rPr>
          <w:sz w:val="24"/>
          <w:szCs w:val="24"/>
        </w:rPr>
        <w:t xml:space="preserve">) </w:t>
      </w:r>
      <w:r w:rsidR="003E1563">
        <w:rPr>
          <w:sz w:val="24"/>
          <w:szCs w:val="24"/>
        </w:rPr>
        <w:t>is the Teaching Fellow for this course.</w:t>
      </w:r>
    </w:p>
    <w:p w:rsidR="002D2AA2" w:rsidRDefault="002D2AA2" w:rsidP="002D2AA2">
      <w:pPr>
        <w:rPr>
          <w:b/>
          <w:sz w:val="24"/>
          <w:szCs w:val="24"/>
          <w:u w:val="single"/>
        </w:rPr>
      </w:pPr>
    </w:p>
    <w:p w:rsidR="002D2AA2" w:rsidRPr="002D2AA2" w:rsidRDefault="002D2AA2" w:rsidP="002D2AA2">
      <w:pPr>
        <w:rPr>
          <w:b/>
          <w:sz w:val="24"/>
          <w:szCs w:val="24"/>
          <w:u w:val="single"/>
        </w:rPr>
      </w:pPr>
      <w:r w:rsidRPr="002D2AA2">
        <w:rPr>
          <w:b/>
          <w:sz w:val="24"/>
          <w:szCs w:val="24"/>
          <w:u w:val="single"/>
        </w:rPr>
        <w:t>Required Texts</w:t>
      </w:r>
    </w:p>
    <w:p w:rsidR="002D2AA2" w:rsidRPr="002D2AA2" w:rsidRDefault="002D2AA2" w:rsidP="002D2AA2">
      <w:pPr>
        <w:ind w:firstLine="720"/>
        <w:rPr>
          <w:sz w:val="24"/>
          <w:szCs w:val="24"/>
        </w:rPr>
      </w:pPr>
    </w:p>
    <w:p w:rsidR="002D2AA2" w:rsidRPr="002D2AA2" w:rsidRDefault="002D2AA2" w:rsidP="002D2AA2">
      <w:pPr>
        <w:ind w:firstLine="720"/>
        <w:rPr>
          <w:sz w:val="24"/>
          <w:szCs w:val="24"/>
        </w:rPr>
      </w:pPr>
      <w:r w:rsidRPr="002D2AA2">
        <w:rPr>
          <w:sz w:val="24"/>
          <w:szCs w:val="24"/>
        </w:rPr>
        <w:t>There will be no required text for this course.  Rather, specific journal articles and book chapters will be required for each class.  All readings will be available through the course web page.</w:t>
      </w:r>
    </w:p>
    <w:p w:rsidR="003E1563" w:rsidRDefault="003E1563" w:rsidP="00D36E48">
      <w:pPr>
        <w:rPr>
          <w:b/>
          <w:sz w:val="24"/>
          <w:szCs w:val="24"/>
          <w:u w:val="single"/>
        </w:rPr>
      </w:pPr>
    </w:p>
    <w:p w:rsidR="00B47FE2" w:rsidRPr="008C0847" w:rsidRDefault="00B47FE2" w:rsidP="00D36E48">
      <w:pPr>
        <w:rPr>
          <w:b/>
          <w:sz w:val="24"/>
          <w:szCs w:val="24"/>
          <w:u w:val="single"/>
        </w:rPr>
      </w:pPr>
      <w:r w:rsidRPr="008C0847">
        <w:rPr>
          <w:b/>
          <w:sz w:val="24"/>
          <w:szCs w:val="24"/>
          <w:u w:val="single"/>
        </w:rPr>
        <w:t>Expectations</w:t>
      </w:r>
    </w:p>
    <w:p w:rsidR="00B47FE2" w:rsidRPr="008C0847" w:rsidRDefault="00B47FE2" w:rsidP="00D36E48">
      <w:pPr>
        <w:rPr>
          <w:sz w:val="24"/>
          <w:szCs w:val="24"/>
          <w:u w:val="single"/>
        </w:rPr>
      </w:pPr>
    </w:p>
    <w:p w:rsidR="008C0847" w:rsidRPr="008C0847" w:rsidRDefault="00B47FE2" w:rsidP="00D36E48">
      <w:pPr>
        <w:rPr>
          <w:sz w:val="24"/>
          <w:szCs w:val="24"/>
        </w:rPr>
      </w:pPr>
      <w:r w:rsidRPr="008C0847">
        <w:rPr>
          <w:sz w:val="24"/>
          <w:szCs w:val="24"/>
        </w:rPr>
        <w:t>Work for the course will consist of four components: (1) r</w:t>
      </w:r>
      <w:r w:rsidR="00B4740F">
        <w:rPr>
          <w:sz w:val="24"/>
          <w:szCs w:val="24"/>
        </w:rPr>
        <w:t>egular short reaction papers (15</w:t>
      </w:r>
      <w:r w:rsidRPr="008C0847">
        <w:rPr>
          <w:sz w:val="24"/>
          <w:szCs w:val="24"/>
        </w:rPr>
        <w:t xml:space="preserve">% of final grade); (2) mid-course </w:t>
      </w:r>
      <w:r w:rsidR="00B85A08">
        <w:rPr>
          <w:sz w:val="24"/>
          <w:szCs w:val="24"/>
        </w:rPr>
        <w:t>exam</w:t>
      </w:r>
      <w:r w:rsidR="00123972">
        <w:rPr>
          <w:sz w:val="24"/>
          <w:szCs w:val="24"/>
        </w:rPr>
        <w:t xml:space="preserve"> (35</w:t>
      </w:r>
      <w:r w:rsidRPr="008C0847">
        <w:rPr>
          <w:sz w:val="24"/>
          <w:szCs w:val="24"/>
        </w:rPr>
        <w:t>% of final grad</w:t>
      </w:r>
      <w:r w:rsidR="00F05667">
        <w:rPr>
          <w:sz w:val="24"/>
          <w:szCs w:val="24"/>
        </w:rPr>
        <w:t xml:space="preserve">e), (3) </w:t>
      </w:r>
      <w:r w:rsidR="00F74460">
        <w:rPr>
          <w:sz w:val="24"/>
          <w:szCs w:val="24"/>
        </w:rPr>
        <w:t>final research pa</w:t>
      </w:r>
      <w:r w:rsidR="00ED6EED">
        <w:rPr>
          <w:sz w:val="24"/>
          <w:szCs w:val="24"/>
        </w:rPr>
        <w:t>p</w:t>
      </w:r>
      <w:r w:rsidR="00F74460">
        <w:rPr>
          <w:sz w:val="24"/>
          <w:szCs w:val="24"/>
        </w:rPr>
        <w:t>er</w:t>
      </w:r>
      <w:r w:rsidR="00123972">
        <w:rPr>
          <w:sz w:val="24"/>
          <w:szCs w:val="24"/>
        </w:rPr>
        <w:t xml:space="preserve"> (35</w:t>
      </w:r>
      <w:r w:rsidRPr="008C0847">
        <w:rPr>
          <w:sz w:val="24"/>
          <w:szCs w:val="24"/>
        </w:rPr>
        <w:t>% of final grade),</w:t>
      </w:r>
      <w:r w:rsidR="00B4740F">
        <w:rPr>
          <w:sz w:val="24"/>
          <w:szCs w:val="24"/>
        </w:rPr>
        <w:t xml:space="preserve"> and (4) class participation (15</w:t>
      </w:r>
      <w:r w:rsidRPr="008C0847">
        <w:rPr>
          <w:sz w:val="24"/>
          <w:szCs w:val="24"/>
        </w:rPr>
        <w:t xml:space="preserve">% of final grade). </w:t>
      </w:r>
    </w:p>
    <w:p w:rsidR="008C0847" w:rsidRPr="008C0847" w:rsidRDefault="008C0847" w:rsidP="00D36E48">
      <w:pPr>
        <w:rPr>
          <w:sz w:val="24"/>
          <w:szCs w:val="24"/>
        </w:rPr>
      </w:pPr>
    </w:p>
    <w:p w:rsidR="008C0847" w:rsidRPr="008C0847" w:rsidRDefault="008C0847" w:rsidP="00931B6C">
      <w:pPr>
        <w:spacing w:after="120"/>
        <w:ind w:left="720"/>
        <w:rPr>
          <w:sz w:val="24"/>
          <w:szCs w:val="24"/>
          <w:u w:val="single"/>
        </w:rPr>
      </w:pPr>
      <w:r w:rsidRPr="008C0847">
        <w:rPr>
          <w:sz w:val="24"/>
          <w:szCs w:val="24"/>
          <w:u w:val="single"/>
        </w:rPr>
        <w:t xml:space="preserve">Regular short </w:t>
      </w:r>
      <w:r>
        <w:rPr>
          <w:sz w:val="24"/>
          <w:szCs w:val="24"/>
          <w:u w:val="single"/>
        </w:rPr>
        <w:t>reaction papers</w:t>
      </w:r>
    </w:p>
    <w:p w:rsidR="00D36E48" w:rsidRPr="00D36E48" w:rsidRDefault="00F621CA" w:rsidP="00931B6C">
      <w:pPr>
        <w:spacing w:after="120"/>
        <w:ind w:left="720"/>
        <w:rPr>
          <w:sz w:val="24"/>
          <w:szCs w:val="24"/>
        </w:rPr>
      </w:pPr>
      <w:r>
        <w:rPr>
          <w:sz w:val="24"/>
          <w:szCs w:val="24"/>
        </w:rPr>
        <w:t>Over the course of the semester, s</w:t>
      </w:r>
      <w:r w:rsidR="00D36E48">
        <w:rPr>
          <w:sz w:val="24"/>
          <w:szCs w:val="24"/>
        </w:rPr>
        <w:t>tudents will be required to</w:t>
      </w:r>
      <w:r w:rsidR="00F05667">
        <w:rPr>
          <w:sz w:val="24"/>
          <w:szCs w:val="24"/>
        </w:rPr>
        <w:t xml:space="preserve"> write brief reaction paper</w:t>
      </w:r>
      <w:r>
        <w:rPr>
          <w:sz w:val="24"/>
          <w:szCs w:val="24"/>
        </w:rPr>
        <w:t>s</w:t>
      </w:r>
      <w:r w:rsidR="00D36E48" w:rsidRPr="009D7981">
        <w:rPr>
          <w:sz w:val="24"/>
          <w:szCs w:val="24"/>
        </w:rPr>
        <w:t xml:space="preserve"> </w:t>
      </w:r>
      <w:r w:rsidR="00014C72">
        <w:rPr>
          <w:sz w:val="24"/>
          <w:szCs w:val="24"/>
        </w:rPr>
        <w:t xml:space="preserve">(no more than 2 double-spaced pages) </w:t>
      </w:r>
      <w:r w:rsidR="00D36E48" w:rsidRPr="009D7981">
        <w:rPr>
          <w:sz w:val="24"/>
          <w:szCs w:val="24"/>
        </w:rPr>
        <w:t>based on personal reflection and commentary on the a</w:t>
      </w:r>
      <w:r w:rsidR="00931B6C">
        <w:rPr>
          <w:sz w:val="24"/>
          <w:szCs w:val="24"/>
        </w:rPr>
        <w:t>ssigned readings</w:t>
      </w:r>
      <w:r w:rsidR="00C1078D">
        <w:rPr>
          <w:sz w:val="24"/>
          <w:szCs w:val="24"/>
        </w:rPr>
        <w:t xml:space="preserve"> and class materials</w:t>
      </w:r>
      <w:r w:rsidR="00931B6C">
        <w:rPr>
          <w:sz w:val="24"/>
          <w:szCs w:val="24"/>
        </w:rPr>
        <w:t xml:space="preserve">.  </w:t>
      </w:r>
      <w:r w:rsidR="009D7981">
        <w:rPr>
          <w:sz w:val="24"/>
          <w:szCs w:val="24"/>
        </w:rPr>
        <w:t>Reaction papers</w:t>
      </w:r>
      <w:r w:rsidR="009D7981" w:rsidRPr="009D7981">
        <w:rPr>
          <w:sz w:val="24"/>
          <w:szCs w:val="24"/>
        </w:rPr>
        <w:t xml:space="preserve"> will be graded</w:t>
      </w:r>
      <w:r w:rsidR="00AB1022">
        <w:rPr>
          <w:sz w:val="24"/>
          <w:szCs w:val="24"/>
        </w:rPr>
        <w:t xml:space="preserve"> “check plus” (meaning “you have mastered the material and provided very interesting commentary”),</w:t>
      </w:r>
      <w:r w:rsidR="00931B6C">
        <w:rPr>
          <w:sz w:val="24"/>
          <w:szCs w:val="24"/>
        </w:rPr>
        <w:t xml:space="preserve"> “</w:t>
      </w:r>
      <w:r w:rsidR="009D7981" w:rsidRPr="009D7981">
        <w:rPr>
          <w:sz w:val="24"/>
          <w:szCs w:val="24"/>
        </w:rPr>
        <w:t>check</w:t>
      </w:r>
      <w:r w:rsidR="00931B6C">
        <w:rPr>
          <w:sz w:val="24"/>
          <w:szCs w:val="24"/>
        </w:rPr>
        <w:t>”</w:t>
      </w:r>
      <w:r w:rsidR="009D7981" w:rsidRPr="009D7981">
        <w:rPr>
          <w:sz w:val="24"/>
          <w:szCs w:val="24"/>
        </w:rPr>
        <w:t xml:space="preserve"> (meaning “you </w:t>
      </w:r>
      <w:r w:rsidR="00931B6C">
        <w:rPr>
          <w:sz w:val="24"/>
          <w:szCs w:val="24"/>
        </w:rPr>
        <w:t>unders</w:t>
      </w:r>
      <w:r w:rsidR="00AB1022">
        <w:rPr>
          <w:sz w:val="24"/>
          <w:szCs w:val="24"/>
        </w:rPr>
        <w:t xml:space="preserve">tood the </w:t>
      </w:r>
      <w:r w:rsidR="00C1078D">
        <w:rPr>
          <w:sz w:val="24"/>
          <w:szCs w:val="24"/>
        </w:rPr>
        <w:t>material</w:t>
      </w:r>
      <w:r w:rsidR="00AB1022">
        <w:rPr>
          <w:sz w:val="24"/>
          <w:szCs w:val="24"/>
        </w:rPr>
        <w:t xml:space="preserve"> and provided relevant </w:t>
      </w:r>
      <w:r w:rsidR="00931B6C">
        <w:rPr>
          <w:sz w:val="24"/>
          <w:szCs w:val="24"/>
        </w:rPr>
        <w:t>commentary”</w:t>
      </w:r>
      <w:r w:rsidR="00014C72">
        <w:rPr>
          <w:sz w:val="24"/>
          <w:szCs w:val="24"/>
        </w:rPr>
        <w:t>)</w:t>
      </w:r>
      <w:r w:rsidR="00AB1022">
        <w:rPr>
          <w:sz w:val="24"/>
          <w:szCs w:val="24"/>
        </w:rPr>
        <w:t>,</w:t>
      </w:r>
      <w:r w:rsidR="00014C72">
        <w:rPr>
          <w:sz w:val="24"/>
          <w:szCs w:val="24"/>
        </w:rPr>
        <w:t xml:space="preserve"> or </w:t>
      </w:r>
      <w:r w:rsidR="00931B6C">
        <w:rPr>
          <w:sz w:val="24"/>
          <w:szCs w:val="24"/>
        </w:rPr>
        <w:t>“</w:t>
      </w:r>
      <w:r w:rsidR="009D7981" w:rsidRPr="009D7981">
        <w:rPr>
          <w:sz w:val="24"/>
          <w:szCs w:val="24"/>
        </w:rPr>
        <w:t>check minus</w:t>
      </w:r>
      <w:r w:rsidR="00931B6C">
        <w:rPr>
          <w:sz w:val="24"/>
          <w:szCs w:val="24"/>
        </w:rPr>
        <w:t>”</w:t>
      </w:r>
      <w:r w:rsidR="009D7981" w:rsidRPr="009D7981">
        <w:rPr>
          <w:sz w:val="24"/>
          <w:szCs w:val="24"/>
        </w:rPr>
        <w:t xml:space="preserve"> (meaning “you </w:t>
      </w:r>
      <w:r w:rsidR="00931B6C">
        <w:rPr>
          <w:sz w:val="24"/>
          <w:szCs w:val="24"/>
        </w:rPr>
        <w:t xml:space="preserve">missed the point on the </w:t>
      </w:r>
      <w:r w:rsidR="00C1078D">
        <w:rPr>
          <w:sz w:val="24"/>
          <w:szCs w:val="24"/>
        </w:rPr>
        <w:t>material</w:t>
      </w:r>
      <w:r w:rsidR="00931B6C">
        <w:rPr>
          <w:sz w:val="24"/>
          <w:szCs w:val="24"/>
        </w:rPr>
        <w:t xml:space="preserve"> and/or did not provide rel</w:t>
      </w:r>
      <w:r w:rsidR="00C1078D">
        <w:rPr>
          <w:sz w:val="24"/>
          <w:szCs w:val="24"/>
        </w:rPr>
        <w:t>evant commentary</w:t>
      </w:r>
      <w:r w:rsidR="009D7981" w:rsidRPr="009D7981">
        <w:rPr>
          <w:sz w:val="24"/>
          <w:szCs w:val="24"/>
        </w:rPr>
        <w:t xml:space="preserve">”).  </w:t>
      </w:r>
      <w:r w:rsidR="009D7981" w:rsidRPr="009D7981">
        <w:rPr>
          <w:sz w:val="24"/>
          <w:szCs w:val="24"/>
          <w:u w:val="single"/>
        </w:rPr>
        <w:t xml:space="preserve">Late </w:t>
      </w:r>
      <w:r w:rsidR="00931B6C">
        <w:rPr>
          <w:sz w:val="24"/>
          <w:szCs w:val="24"/>
          <w:u w:val="single"/>
        </w:rPr>
        <w:t>reaction papers</w:t>
      </w:r>
      <w:r w:rsidR="009D7981" w:rsidRPr="009D7981">
        <w:rPr>
          <w:sz w:val="24"/>
          <w:szCs w:val="24"/>
          <w:u w:val="single"/>
        </w:rPr>
        <w:t xml:space="preserve"> will be automatically assessed a check minus.</w:t>
      </w:r>
      <w:r w:rsidR="009D7981" w:rsidRPr="009D7981">
        <w:rPr>
          <w:sz w:val="24"/>
          <w:szCs w:val="24"/>
        </w:rPr>
        <w:t xml:space="preserve">  </w:t>
      </w:r>
      <w:r w:rsidR="00D36E48" w:rsidRPr="009D7981">
        <w:rPr>
          <w:sz w:val="24"/>
          <w:szCs w:val="24"/>
        </w:rPr>
        <w:t>Papers will not be accepted more than one class meeting late.</w:t>
      </w:r>
    </w:p>
    <w:p w:rsidR="000447F8" w:rsidRDefault="000447F8" w:rsidP="00931B6C">
      <w:pPr>
        <w:spacing w:after="120"/>
        <w:ind w:left="720"/>
        <w:rPr>
          <w:sz w:val="24"/>
          <w:szCs w:val="24"/>
        </w:rPr>
      </w:pPr>
    </w:p>
    <w:p w:rsidR="009C11B6" w:rsidRDefault="00626005" w:rsidP="00931B6C">
      <w:pPr>
        <w:spacing w:after="120"/>
        <w:ind w:left="720"/>
        <w:rPr>
          <w:sz w:val="24"/>
          <w:szCs w:val="24"/>
          <w:u w:val="single"/>
        </w:rPr>
      </w:pPr>
      <w:r>
        <w:rPr>
          <w:sz w:val="24"/>
          <w:szCs w:val="24"/>
          <w:u w:val="single"/>
        </w:rPr>
        <w:t>Mid</w:t>
      </w:r>
      <w:r w:rsidR="00672956">
        <w:rPr>
          <w:sz w:val="24"/>
          <w:szCs w:val="24"/>
          <w:u w:val="single"/>
        </w:rPr>
        <w:t>-course</w:t>
      </w:r>
      <w:r w:rsidR="009C11B6">
        <w:rPr>
          <w:sz w:val="24"/>
          <w:szCs w:val="24"/>
          <w:u w:val="single"/>
        </w:rPr>
        <w:t xml:space="preserve"> exam</w:t>
      </w:r>
    </w:p>
    <w:p w:rsidR="00DD1B3B" w:rsidRDefault="00626005" w:rsidP="00DD1B3B">
      <w:pPr>
        <w:spacing w:after="120"/>
        <w:ind w:left="720"/>
        <w:rPr>
          <w:sz w:val="24"/>
          <w:szCs w:val="24"/>
        </w:rPr>
      </w:pPr>
      <w:r>
        <w:rPr>
          <w:sz w:val="24"/>
          <w:szCs w:val="24"/>
        </w:rPr>
        <w:t xml:space="preserve">A </w:t>
      </w:r>
      <w:r w:rsidR="009474D3">
        <w:rPr>
          <w:sz w:val="24"/>
          <w:szCs w:val="24"/>
        </w:rPr>
        <w:t xml:space="preserve">mid-course </w:t>
      </w:r>
      <w:r w:rsidR="009C11B6">
        <w:rPr>
          <w:sz w:val="24"/>
          <w:szCs w:val="24"/>
        </w:rPr>
        <w:t>exam will be</w:t>
      </w:r>
      <w:r w:rsidR="009474D3">
        <w:rPr>
          <w:sz w:val="24"/>
          <w:szCs w:val="24"/>
        </w:rPr>
        <w:t xml:space="preserve"> </w:t>
      </w:r>
      <w:r w:rsidR="0006009A">
        <w:rPr>
          <w:sz w:val="24"/>
          <w:szCs w:val="24"/>
        </w:rPr>
        <w:t>hel</w:t>
      </w:r>
      <w:r w:rsidR="00360D30">
        <w:rPr>
          <w:sz w:val="24"/>
          <w:szCs w:val="24"/>
        </w:rPr>
        <w:t xml:space="preserve">d in class on </w:t>
      </w:r>
      <w:r w:rsidR="00360D30" w:rsidRPr="0087134F">
        <w:rPr>
          <w:b/>
          <w:sz w:val="24"/>
          <w:szCs w:val="24"/>
        </w:rPr>
        <w:t xml:space="preserve">Monday, </w:t>
      </w:r>
      <w:r w:rsidR="005431BE" w:rsidRPr="0087134F">
        <w:rPr>
          <w:b/>
          <w:sz w:val="24"/>
          <w:szCs w:val="24"/>
        </w:rPr>
        <w:t>October 2</w:t>
      </w:r>
      <w:r w:rsidR="00DD740A">
        <w:rPr>
          <w:b/>
          <w:sz w:val="24"/>
          <w:szCs w:val="24"/>
        </w:rPr>
        <w:t>7</w:t>
      </w:r>
      <w:r w:rsidR="009474D3">
        <w:rPr>
          <w:sz w:val="24"/>
          <w:szCs w:val="24"/>
        </w:rPr>
        <w:t>.</w:t>
      </w:r>
      <w:r w:rsidR="002A17E1">
        <w:rPr>
          <w:sz w:val="24"/>
          <w:szCs w:val="24"/>
        </w:rPr>
        <w:t xml:space="preserve">  </w:t>
      </w:r>
      <w:r w:rsidR="002A17E1" w:rsidRPr="002A17E1">
        <w:rPr>
          <w:b/>
          <w:sz w:val="24"/>
          <w:szCs w:val="24"/>
        </w:rPr>
        <w:t xml:space="preserve">No </w:t>
      </w:r>
      <w:r w:rsidR="0006009A">
        <w:rPr>
          <w:b/>
          <w:sz w:val="24"/>
          <w:szCs w:val="24"/>
        </w:rPr>
        <w:t>make-up exams</w:t>
      </w:r>
      <w:r w:rsidR="002A17E1" w:rsidRPr="002A17E1">
        <w:rPr>
          <w:b/>
          <w:sz w:val="24"/>
          <w:szCs w:val="24"/>
        </w:rPr>
        <w:t xml:space="preserve"> will be given.</w:t>
      </w:r>
      <w:r w:rsidR="0006009A">
        <w:rPr>
          <w:b/>
          <w:sz w:val="24"/>
          <w:szCs w:val="24"/>
        </w:rPr>
        <w:t xml:space="preserve">  If you know that you</w:t>
      </w:r>
      <w:r w:rsidR="000A1A36">
        <w:rPr>
          <w:b/>
          <w:sz w:val="24"/>
          <w:szCs w:val="24"/>
        </w:rPr>
        <w:t xml:space="preserve"> </w:t>
      </w:r>
      <w:r w:rsidR="0006009A">
        <w:rPr>
          <w:b/>
          <w:sz w:val="24"/>
          <w:szCs w:val="24"/>
        </w:rPr>
        <w:t>can’t be present for the exam, don’t sign up for the course.</w:t>
      </w:r>
    </w:p>
    <w:p w:rsidR="009474D3" w:rsidRDefault="009474D3" w:rsidP="00DD1B3B">
      <w:pPr>
        <w:spacing w:after="120"/>
        <w:ind w:left="720"/>
        <w:rPr>
          <w:sz w:val="24"/>
          <w:szCs w:val="24"/>
          <w:u w:val="single"/>
        </w:rPr>
      </w:pPr>
    </w:p>
    <w:p w:rsidR="00DD1B3B" w:rsidRDefault="00DD1B3B" w:rsidP="00DD1B3B">
      <w:pPr>
        <w:spacing w:after="120"/>
        <w:ind w:left="720"/>
        <w:rPr>
          <w:sz w:val="24"/>
          <w:szCs w:val="24"/>
        </w:rPr>
      </w:pPr>
      <w:r>
        <w:rPr>
          <w:sz w:val="24"/>
          <w:szCs w:val="24"/>
          <w:u w:val="single"/>
        </w:rPr>
        <w:t>Final</w:t>
      </w:r>
      <w:r w:rsidRPr="00931B6C">
        <w:rPr>
          <w:sz w:val="24"/>
          <w:szCs w:val="24"/>
          <w:u w:val="single"/>
        </w:rPr>
        <w:t xml:space="preserve"> research paper</w:t>
      </w:r>
    </w:p>
    <w:p w:rsidR="00DD1B3B" w:rsidRPr="00BA0887" w:rsidRDefault="00DD1B3B" w:rsidP="00DD1B3B">
      <w:pPr>
        <w:spacing w:after="120"/>
        <w:ind w:left="720"/>
        <w:rPr>
          <w:b/>
          <w:sz w:val="24"/>
          <w:szCs w:val="24"/>
        </w:rPr>
      </w:pPr>
      <w:r>
        <w:rPr>
          <w:sz w:val="24"/>
          <w:szCs w:val="24"/>
        </w:rPr>
        <w:t xml:space="preserve">Students will be required to submit a </w:t>
      </w:r>
      <w:r w:rsidR="00B64EA1">
        <w:rPr>
          <w:sz w:val="24"/>
          <w:szCs w:val="24"/>
        </w:rPr>
        <w:t>1</w:t>
      </w:r>
      <w:r w:rsidR="005B57A6">
        <w:rPr>
          <w:sz w:val="24"/>
          <w:szCs w:val="24"/>
        </w:rPr>
        <w:t>5</w:t>
      </w:r>
      <w:r>
        <w:rPr>
          <w:sz w:val="24"/>
          <w:szCs w:val="24"/>
        </w:rPr>
        <w:t xml:space="preserve"> page </w:t>
      </w:r>
      <w:r w:rsidR="008A0E98">
        <w:rPr>
          <w:sz w:val="24"/>
          <w:szCs w:val="24"/>
        </w:rPr>
        <w:t>final</w:t>
      </w:r>
      <w:r>
        <w:rPr>
          <w:sz w:val="24"/>
          <w:szCs w:val="24"/>
        </w:rPr>
        <w:t xml:space="preserve"> research paper.  </w:t>
      </w:r>
      <w:r w:rsidR="00853A24">
        <w:rPr>
          <w:sz w:val="24"/>
          <w:szCs w:val="24"/>
        </w:rPr>
        <w:t>S</w:t>
      </w:r>
      <w:r w:rsidR="00626005">
        <w:rPr>
          <w:sz w:val="24"/>
          <w:szCs w:val="24"/>
        </w:rPr>
        <w:t>tudents</w:t>
      </w:r>
      <w:r w:rsidR="00853A24">
        <w:rPr>
          <w:sz w:val="24"/>
          <w:szCs w:val="24"/>
        </w:rPr>
        <w:t xml:space="preserve"> taking the class for graduate credit</w:t>
      </w:r>
      <w:r w:rsidR="00626005">
        <w:rPr>
          <w:sz w:val="24"/>
          <w:szCs w:val="24"/>
        </w:rPr>
        <w:t xml:space="preserve"> will be required to submit a 20 page paper.  </w:t>
      </w:r>
      <w:r>
        <w:rPr>
          <w:sz w:val="24"/>
          <w:szCs w:val="24"/>
        </w:rPr>
        <w:t xml:space="preserve">These papers must make extensive use of relevant citations and follow a recognized reference style (Chicago, APA, or </w:t>
      </w:r>
      <w:proofErr w:type="spellStart"/>
      <w:r>
        <w:rPr>
          <w:sz w:val="24"/>
          <w:szCs w:val="24"/>
        </w:rPr>
        <w:t>Turabian</w:t>
      </w:r>
      <w:proofErr w:type="spellEnd"/>
      <w:r>
        <w:rPr>
          <w:sz w:val="24"/>
          <w:szCs w:val="24"/>
        </w:rPr>
        <w:t xml:space="preserve">). All paper topics must be approved by </w:t>
      </w:r>
      <w:r w:rsidR="00626005">
        <w:rPr>
          <w:sz w:val="24"/>
          <w:szCs w:val="24"/>
        </w:rPr>
        <w:t>the Teaching Fellows</w:t>
      </w:r>
      <w:r>
        <w:rPr>
          <w:sz w:val="24"/>
          <w:szCs w:val="24"/>
        </w:rPr>
        <w:t xml:space="preserve"> or me.</w:t>
      </w:r>
      <w:r w:rsidR="00BA0887">
        <w:rPr>
          <w:sz w:val="24"/>
          <w:szCs w:val="24"/>
        </w:rPr>
        <w:t xml:space="preserve"> </w:t>
      </w:r>
      <w:r w:rsidR="00BA0887" w:rsidRPr="00BA0887">
        <w:rPr>
          <w:b/>
          <w:sz w:val="24"/>
          <w:szCs w:val="24"/>
        </w:rPr>
        <w:t xml:space="preserve">The final research paper will be due on </w:t>
      </w:r>
      <w:r w:rsidR="00126A50">
        <w:rPr>
          <w:b/>
          <w:sz w:val="24"/>
          <w:szCs w:val="24"/>
        </w:rPr>
        <w:t>Wednesday</w:t>
      </w:r>
      <w:r w:rsidR="00BA0887" w:rsidRPr="00BA0887">
        <w:rPr>
          <w:b/>
          <w:sz w:val="24"/>
          <w:szCs w:val="24"/>
        </w:rPr>
        <w:t xml:space="preserve">, </w:t>
      </w:r>
      <w:r w:rsidR="00126A50">
        <w:rPr>
          <w:b/>
          <w:sz w:val="24"/>
          <w:szCs w:val="24"/>
        </w:rPr>
        <w:t xml:space="preserve">December </w:t>
      </w:r>
      <w:r w:rsidR="00E21529">
        <w:rPr>
          <w:b/>
          <w:sz w:val="24"/>
          <w:szCs w:val="24"/>
        </w:rPr>
        <w:t>3</w:t>
      </w:r>
      <w:r w:rsidR="00BA0887" w:rsidRPr="00BA0887">
        <w:rPr>
          <w:b/>
          <w:sz w:val="24"/>
          <w:szCs w:val="24"/>
        </w:rPr>
        <w:t xml:space="preserve"> at 5:00 pm.</w:t>
      </w:r>
    </w:p>
    <w:p w:rsidR="009C11B6" w:rsidRPr="00931B6C" w:rsidRDefault="009C11B6" w:rsidP="00931B6C">
      <w:pPr>
        <w:spacing w:after="120"/>
        <w:ind w:left="720"/>
        <w:rPr>
          <w:sz w:val="24"/>
          <w:szCs w:val="24"/>
        </w:rPr>
      </w:pPr>
    </w:p>
    <w:p w:rsidR="008C0847" w:rsidRPr="00931B6C" w:rsidRDefault="008C0847" w:rsidP="00931B6C">
      <w:pPr>
        <w:spacing w:after="120"/>
        <w:ind w:left="720"/>
        <w:rPr>
          <w:sz w:val="24"/>
          <w:szCs w:val="24"/>
        </w:rPr>
      </w:pPr>
      <w:r w:rsidRPr="00931B6C">
        <w:rPr>
          <w:sz w:val="24"/>
          <w:szCs w:val="24"/>
          <w:u w:val="single"/>
        </w:rPr>
        <w:t>Class Participation</w:t>
      </w:r>
      <w:r w:rsidRPr="00931B6C">
        <w:rPr>
          <w:sz w:val="24"/>
          <w:szCs w:val="24"/>
        </w:rPr>
        <w:t xml:space="preserve">  </w:t>
      </w:r>
    </w:p>
    <w:p w:rsidR="008C0847" w:rsidRDefault="008C0847" w:rsidP="00931B6C">
      <w:pPr>
        <w:spacing w:after="120"/>
        <w:ind w:left="720"/>
        <w:rPr>
          <w:sz w:val="24"/>
          <w:szCs w:val="24"/>
        </w:rPr>
      </w:pPr>
      <w:r w:rsidRPr="008C0847">
        <w:rPr>
          <w:sz w:val="24"/>
          <w:szCs w:val="24"/>
        </w:rPr>
        <w:t xml:space="preserve">Students will be evaluated on their use of the readings and their ability to move </w:t>
      </w:r>
      <w:r w:rsidR="00DD2C6B">
        <w:rPr>
          <w:sz w:val="24"/>
          <w:szCs w:val="24"/>
        </w:rPr>
        <w:t>our</w:t>
      </w:r>
      <w:r w:rsidRPr="008C0847">
        <w:rPr>
          <w:sz w:val="24"/>
          <w:szCs w:val="24"/>
        </w:rPr>
        <w:t xml:space="preserve"> conversation</w:t>
      </w:r>
      <w:r w:rsidR="00DD2C6B">
        <w:rPr>
          <w:sz w:val="24"/>
          <w:szCs w:val="24"/>
        </w:rPr>
        <w:t>s</w:t>
      </w:r>
      <w:r w:rsidRPr="008C0847">
        <w:rPr>
          <w:sz w:val="24"/>
          <w:szCs w:val="24"/>
        </w:rPr>
        <w:t xml:space="preserve"> forward</w:t>
      </w:r>
      <w:r w:rsidR="00265FDF">
        <w:rPr>
          <w:sz w:val="24"/>
          <w:szCs w:val="24"/>
        </w:rPr>
        <w:t xml:space="preserve"> </w:t>
      </w:r>
      <w:r w:rsidR="00265FDF" w:rsidRPr="008C0847">
        <w:rPr>
          <w:sz w:val="24"/>
          <w:szCs w:val="24"/>
        </w:rPr>
        <w:t xml:space="preserve">in class </w:t>
      </w:r>
      <w:r w:rsidR="00265FDF">
        <w:rPr>
          <w:sz w:val="24"/>
          <w:szCs w:val="24"/>
        </w:rPr>
        <w:t xml:space="preserve">and section </w:t>
      </w:r>
      <w:r w:rsidR="00265FDF" w:rsidRPr="008C0847">
        <w:rPr>
          <w:sz w:val="24"/>
          <w:szCs w:val="24"/>
        </w:rPr>
        <w:t>discussion</w:t>
      </w:r>
      <w:r w:rsidRPr="008C0847">
        <w:rPr>
          <w:sz w:val="24"/>
          <w:szCs w:val="24"/>
        </w:rPr>
        <w:t xml:space="preserve">.  Participation that indicates lack of awareness of the assigned material will not be viewed positively.  Likewise, comments that do not move the discussion forward will not be viewed positively. </w:t>
      </w:r>
    </w:p>
    <w:p w:rsidR="000447F8" w:rsidRDefault="000447F8" w:rsidP="00931B6C">
      <w:pPr>
        <w:spacing w:after="120"/>
        <w:ind w:left="720"/>
        <w:rPr>
          <w:sz w:val="24"/>
          <w:szCs w:val="24"/>
        </w:rPr>
      </w:pPr>
    </w:p>
    <w:p w:rsidR="00103BC5" w:rsidRDefault="00626005" w:rsidP="00B47FE2">
      <w:pPr>
        <w:rPr>
          <w:b/>
          <w:sz w:val="24"/>
        </w:rPr>
      </w:pPr>
      <w:r>
        <w:rPr>
          <w:b/>
          <w:sz w:val="24"/>
        </w:rPr>
        <w:br w:type="page"/>
      </w:r>
    </w:p>
    <w:p w:rsidR="00177054" w:rsidRDefault="00177054" w:rsidP="00B47FE2">
      <w:pPr>
        <w:rPr>
          <w:sz w:val="24"/>
        </w:rPr>
      </w:pPr>
      <w:r>
        <w:rPr>
          <w:b/>
          <w:sz w:val="24"/>
        </w:rPr>
        <w:t>SCHEDULE OF CLASS MEETINGS</w:t>
      </w:r>
    </w:p>
    <w:p w:rsidR="00177054" w:rsidRDefault="00177054" w:rsidP="00177054">
      <w:pPr>
        <w:rPr>
          <w:sz w:val="24"/>
        </w:rPr>
      </w:pPr>
    </w:p>
    <w:p w:rsidR="00177054" w:rsidRDefault="00177054" w:rsidP="00177054">
      <w:pPr>
        <w:rPr>
          <w:sz w:val="24"/>
        </w:rPr>
      </w:pPr>
    </w:p>
    <w:p w:rsidR="008E03F7" w:rsidRPr="00DC7D6D" w:rsidRDefault="00626005" w:rsidP="00177054">
      <w:pPr>
        <w:rPr>
          <w:b/>
          <w:sz w:val="24"/>
        </w:rPr>
      </w:pPr>
      <w:r>
        <w:rPr>
          <w:b/>
          <w:sz w:val="24"/>
        </w:rPr>
        <w:t xml:space="preserve">September </w:t>
      </w:r>
      <w:r w:rsidR="00891A40">
        <w:rPr>
          <w:b/>
          <w:sz w:val="24"/>
        </w:rPr>
        <w:t>3</w:t>
      </w:r>
      <w:r w:rsidR="008E03F7" w:rsidRPr="00DC7D6D">
        <w:rPr>
          <w:b/>
          <w:sz w:val="24"/>
        </w:rPr>
        <w:t xml:space="preserve"> – Introduction </w:t>
      </w:r>
      <w:r w:rsidR="00DC7D6D" w:rsidRPr="00DC7D6D">
        <w:rPr>
          <w:b/>
          <w:sz w:val="24"/>
        </w:rPr>
        <w:t>and Class Overview</w:t>
      </w:r>
    </w:p>
    <w:p w:rsidR="00177054" w:rsidRDefault="00177054" w:rsidP="00177054">
      <w:pPr>
        <w:rPr>
          <w:sz w:val="24"/>
        </w:rPr>
      </w:pPr>
    </w:p>
    <w:p w:rsidR="00DC7D6D" w:rsidRDefault="00DC7D6D" w:rsidP="00177054">
      <w:pPr>
        <w:rPr>
          <w:sz w:val="24"/>
        </w:rPr>
      </w:pPr>
    </w:p>
    <w:p w:rsidR="00177054" w:rsidRPr="00E07F9C" w:rsidRDefault="000F0FA7" w:rsidP="00177054">
      <w:pPr>
        <w:rPr>
          <w:b/>
          <w:sz w:val="24"/>
        </w:rPr>
      </w:pPr>
      <w:r>
        <w:rPr>
          <w:b/>
          <w:sz w:val="24"/>
        </w:rPr>
        <w:t>Sept</w:t>
      </w:r>
      <w:r w:rsidR="00186588">
        <w:rPr>
          <w:b/>
          <w:sz w:val="24"/>
        </w:rPr>
        <w:t xml:space="preserve">ember </w:t>
      </w:r>
      <w:r w:rsidR="00891A40">
        <w:rPr>
          <w:b/>
          <w:sz w:val="24"/>
        </w:rPr>
        <w:t>8</w:t>
      </w:r>
      <w:r w:rsidR="008E03F7" w:rsidRPr="00E07F9C">
        <w:rPr>
          <w:b/>
          <w:sz w:val="24"/>
        </w:rPr>
        <w:t xml:space="preserve"> – </w:t>
      </w:r>
      <w:r w:rsidR="005B4BFD" w:rsidRPr="00E07F9C">
        <w:rPr>
          <w:b/>
          <w:sz w:val="24"/>
        </w:rPr>
        <w:t xml:space="preserve">Crime in </w:t>
      </w:r>
      <w:r w:rsidR="00891A40">
        <w:rPr>
          <w:b/>
          <w:sz w:val="24"/>
        </w:rPr>
        <w:t>Urban Communities</w:t>
      </w:r>
      <w:r w:rsidR="00253C6D">
        <w:rPr>
          <w:b/>
          <w:sz w:val="24"/>
        </w:rPr>
        <w:t xml:space="preserve"> and the Move towards Community Justice</w:t>
      </w:r>
    </w:p>
    <w:p w:rsidR="00177054" w:rsidRDefault="00177054" w:rsidP="00177054">
      <w:pPr>
        <w:rPr>
          <w:sz w:val="24"/>
        </w:rPr>
      </w:pPr>
    </w:p>
    <w:p w:rsidR="00E07F9C" w:rsidRDefault="00447F08" w:rsidP="00E07F9C">
      <w:pPr>
        <w:rPr>
          <w:sz w:val="24"/>
        </w:rPr>
      </w:pPr>
      <w:r>
        <w:rPr>
          <w:sz w:val="24"/>
        </w:rPr>
        <w:t>Required reading</w:t>
      </w:r>
      <w:r w:rsidR="00253C6D">
        <w:rPr>
          <w:sz w:val="24"/>
        </w:rPr>
        <w:t>s</w:t>
      </w:r>
      <w:r w:rsidR="00E07F9C">
        <w:rPr>
          <w:sz w:val="24"/>
        </w:rPr>
        <w:t xml:space="preserve"> –</w:t>
      </w:r>
    </w:p>
    <w:p w:rsidR="00E07F9C" w:rsidRDefault="00E07F9C" w:rsidP="00177054">
      <w:pPr>
        <w:rPr>
          <w:sz w:val="24"/>
        </w:rPr>
      </w:pPr>
    </w:p>
    <w:p w:rsidR="0062102F" w:rsidRDefault="00311A1C" w:rsidP="0062102F">
      <w:pPr>
        <w:rPr>
          <w:sz w:val="24"/>
        </w:rPr>
      </w:pPr>
      <w:r>
        <w:rPr>
          <w:sz w:val="24"/>
        </w:rPr>
        <w:tab/>
        <w:t>Robert J. Sampson. 2011. “The Community.”</w:t>
      </w:r>
      <w:r w:rsidR="00253C6D">
        <w:rPr>
          <w:sz w:val="24"/>
        </w:rPr>
        <w:t xml:space="preserve"> In </w:t>
      </w:r>
      <w:r w:rsidR="00253C6D" w:rsidRPr="00253C6D">
        <w:rPr>
          <w:i/>
          <w:sz w:val="24"/>
        </w:rPr>
        <w:t>Crime and Public Policy</w:t>
      </w:r>
      <w:r w:rsidR="0062102F">
        <w:rPr>
          <w:sz w:val="24"/>
        </w:rPr>
        <w:t xml:space="preserve">, edited by </w:t>
      </w:r>
    </w:p>
    <w:p w:rsidR="00311A1C" w:rsidRDefault="0062102F" w:rsidP="0062102F">
      <w:pPr>
        <w:ind w:firstLine="720"/>
        <w:rPr>
          <w:sz w:val="24"/>
        </w:rPr>
      </w:pPr>
      <w:r>
        <w:rPr>
          <w:sz w:val="24"/>
        </w:rPr>
        <w:t xml:space="preserve">James Q. Wilson and Joan </w:t>
      </w:r>
      <w:proofErr w:type="spellStart"/>
      <w:r>
        <w:rPr>
          <w:sz w:val="24"/>
        </w:rPr>
        <w:t>Petersilia</w:t>
      </w:r>
      <w:proofErr w:type="spellEnd"/>
      <w:r w:rsidR="00253C6D">
        <w:rPr>
          <w:sz w:val="24"/>
        </w:rPr>
        <w:t>. New York: Oxford University Press.</w:t>
      </w:r>
    </w:p>
    <w:p w:rsidR="00311A1C" w:rsidRDefault="00311A1C" w:rsidP="00177054">
      <w:pPr>
        <w:rPr>
          <w:sz w:val="24"/>
        </w:rPr>
      </w:pPr>
    </w:p>
    <w:p w:rsidR="00253C6D" w:rsidRDefault="00253C6D" w:rsidP="00177054">
      <w:pPr>
        <w:rPr>
          <w:sz w:val="24"/>
        </w:rPr>
      </w:pPr>
      <w:r>
        <w:rPr>
          <w:sz w:val="24"/>
        </w:rPr>
        <w:tab/>
        <w:t xml:space="preserve">Jens Ludwig and Julia Burdick-Will. 2012. “Poverty </w:t>
      </w:r>
      <w:proofErr w:type="spellStart"/>
      <w:r>
        <w:rPr>
          <w:sz w:val="24"/>
        </w:rPr>
        <w:t>Deconcentration</w:t>
      </w:r>
      <w:proofErr w:type="spellEnd"/>
      <w:r>
        <w:rPr>
          <w:sz w:val="24"/>
        </w:rPr>
        <w:t xml:space="preserve"> and the Prevention </w:t>
      </w:r>
    </w:p>
    <w:p w:rsidR="0062102F" w:rsidRDefault="00253C6D" w:rsidP="0062102F">
      <w:pPr>
        <w:ind w:firstLine="720"/>
        <w:rPr>
          <w:sz w:val="24"/>
        </w:rPr>
      </w:pPr>
      <w:r>
        <w:rPr>
          <w:sz w:val="24"/>
        </w:rPr>
        <w:t xml:space="preserve">of Crime.” </w:t>
      </w:r>
      <w:r w:rsidR="0062102F" w:rsidRPr="0062102F">
        <w:rPr>
          <w:sz w:val="24"/>
        </w:rPr>
        <w:t xml:space="preserve">In </w:t>
      </w:r>
      <w:r w:rsidR="0062102F" w:rsidRPr="0062102F">
        <w:rPr>
          <w:i/>
          <w:sz w:val="24"/>
        </w:rPr>
        <w:t xml:space="preserve">The Oxford Handbook of Crime Prevention, </w:t>
      </w:r>
      <w:r w:rsidR="0062102F" w:rsidRPr="0062102F">
        <w:rPr>
          <w:sz w:val="24"/>
        </w:rPr>
        <w:t xml:space="preserve">edited by Brandon C. Welsh </w:t>
      </w:r>
    </w:p>
    <w:p w:rsidR="0062102F" w:rsidRPr="0062102F" w:rsidRDefault="0062102F" w:rsidP="0062102F">
      <w:pPr>
        <w:ind w:firstLine="720"/>
        <w:rPr>
          <w:i/>
          <w:sz w:val="24"/>
        </w:rPr>
      </w:pPr>
      <w:r w:rsidRPr="0062102F">
        <w:rPr>
          <w:sz w:val="24"/>
        </w:rPr>
        <w:t>and David P. Farrington. New York: Oxford University Press.</w:t>
      </w:r>
    </w:p>
    <w:p w:rsidR="00253C6D" w:rsidRDefault="00253C6D" w:rsidP="0062102F">
      <w:pPr>
        <w:ind w:firstLine="720"/>
        <w:rPr>
          <w:sz w:val="24"/>
        </w:rPr>
      </w:pPr>
    </w:p>
    <w:p w:rsidR="00311A1C" w:rsidRPr="00C625B5" w:rsidRDefault="00311A1C" w:rsidP="00311A1C">
      <w:pPr>
        <w:ind w:left="720"/>
        <w:rPr>
          <w:sz w:val="24"/>
        </w:rPr>
      </w:pPr>
      <w:r>
        <w:rPr>
          <w:sz w:val="24"/>
        </w:rPr>
        <w:t xml:space="preserve">Chapter 1 – “The Community Justice Movement.” In Todd Clear and David Karp. 1999. </w:t>
      </w:r>
      <w:r>
        <w:rPr>
          <w:i/>
          <w:sz w:val="24"/>
        </w:rPr>
        <w:t>The Community Justice Ideal: Preventing Crime and Achieving Justice</w:t>
      </w:r>
      <w:r>
        <w:rPr>
          <w:sz w:val="24"/>
        </w:rPr>
        <w:t xml:space="preserve">. </w:t>
      </w:r>
      <w:smartTag w:uri="urn:schemas-microsoft-com:office:smarttags" w:element="place">
        <w:smartTag w:uri="urn:schemas-microsoft-com:office:smarttags" w:element="City">
          <w:r>
            <w:rPr>
              <w:sz w:val="24"/>
            </w:rPr>
            <w:t>Boulder</w:t>
          </w:r>
        </w:smartTag>
        <w:r>
          <w:rPr>
            <w:sz w:val="24"/>
          </w:rPr>
          <w:t xml:space="preserve">, </w:t>
        </w:r>
        <w:smartTag w:uri="urn:schemas-microsoft-com:office:smarttags" w:element="State">
          <w:r>
            <w:rPr>
              <w:sz w:val="24"/>
            </w:rPr>
            <w:t>CO</w:t>
          </w:r>
        </w:smartTag>
      </w:smartTag>
      <w:r>
        <w:rPr>
          <w:sz w:val="24"/>
        </w:rPr>
        <w:t>: Westview Press.</w:t>
      </w:r>
    </w:p>
    <w:p w:rsidR="00311A1C" w:rsidRDefault="00311A1C" w:rsidP="00311A1C">
      <w:pPr>
        <w:rPr>
          <w:sz w:val="24"/>
        </w:rPr>
      </w:pPr>
    </w:p>
    <w:p w:rsidR="00311A1C" w:rsidRDefault="00447F08" w:rsidP="00311A1C">
      <w:pPr>
        <w:ind w:firstLine="720"/>
        <w:rPr>
          <w:sz w:val="24"/>
        </w:rPr>
      </w:pPr>
      <w:r>
        <w:rPr>
          <w:sz w:val="24"/>
        </w:rPr>
        <w:t xml:space="preserve">Steven D. Levitt. 2004. “Understanding Why Crime Fell in the 1990s: Four Factors That </w:t>
      </w:r>
    </w:p>
    <w:p w:rsidR="00447F08" w:rsidRPr="00447F08" w:rsidRDefault="00447F08" w:rsidP="00311A1C">
      <w:pPr>
        <w:ind w:left="720"/>
        <w:rPr>
          <w:sz w:val="24"/>
        </w:rPr>
      </w:pPr>
      <w:r>
        <w:rPr>
          <w:sz w:val="24"/>
        </w:rPr>
        <w:t xml:space="preserve">Explain the Decline and Six That Do Not.” </w:t>
      </w:r>
      <w:r>
        <w:rPr>
          <w:i/>
          <w:sz w:val="24"/>
        </w:rPr>
        <w:t>Journal of Economic Perspectives</w:t>
      </w:r>
      <w:r>
        <w:rPr>
          <w:sz w:val="24"/>
        </w:rPr>
        <w:t>, 18: 163 – 190.</w:t>
      </w:r>
    </w:p>
    <w:p w:rsidR="00447F08" w:rsidRDefault="00447F08" w:rsidP="00177054">
      <w:pPr>
        <w:rPr>
          <w:sz w:val="24"/>
        </w:rPr>
      </w:pPr>
    </w:p>
    <w:p w:rsidR="00797DD5" w:rsidRDefault="00FB1523" w:rsidP="00177054">
      <w:pPr>
        <w:rPr>
          <w:sz w:val="24"/>
        </w:rPr>
      </w:pPr>
      <w:r>
        <w:rPr>
          <w:sz w:val="24"/>
        </w:rPr>
        <w:tab/>
      </w:r>
    </w:p>
    <w:p w:rsidR="00177054" w:rsidRPr="00757662" w:rsidRDefault="00186588" w:rsidP="00177054">
      <w:pPr>
        <w:rPr>
          <w:b/>
          <w:sz w:val="24"/>
        </w:rPr>
      </w:pPr>
      <w:r>
        <w:rPr>
          <w:b/>
          <w:sz w:val="24"/>
        </w:rPr>
        <w:t>September 1</w:t>
      </w:r>
      <w:r w:rsidR="00891A40">
        <w:rPr>
          <w:b/>
          <w:sz w:val="24"/>
        </w:rPr>
        <w:t>0</w:t>
      </w:r>
      <w:r w:rsidR="008E03F7" w:rsidRPr="00757662">
        <w:rPr>
          <w:b/>
          <w:sz w:val="24"/>
        </w:rPr>
        <w:t xml:space="preserve"> – </w:t>
      </w:r>
      <w:r w:rsidR="00891A40">
        <w:rPr>
          <w:b/>
          <w:sz w:val="24"/>
        </w:rPr>
        <w:t>Disorder and the Physical Environment of Neighborhoods</w:t>
      </w:r>
    </w:p>
    <w:p w:rsidR="00177054" w:rsidRDefault="00177054" w:rsidP="00177054">
      <w:pPr>
        <w:rPr>
          <w:sz w:val="24"/>
        </w:rPr>
      </w:pPr>
    </w:p>
    <w:p w:rsidR="00BE2A04" w:rsidRDefault="00BE2A04" w:rsidP="00BE2A04">
      <w:pPr>
        <w:rPr>
          <w:sz w:val="24"/>
        </w:rPr>
      </w:pPr>
      <w:r>
        <w:rPr>
          <w:sz w:val="24"/>
        </w:rPr>
        <w:t>Required readings –</w:t>
      </w:r>
    </w:p>
    <w:p w:rsidR="00253C6D" w:rsidRDefault="00253C6D" w:rsidP="00BE2A04">
      <w:pPr>
        <w:rPr>
          <w:sz w:val="24"/>
        </w:rPr>
      </w:pPr>
    </w:p>
    <w:p w:rsidR="0062102F" w:rsidRDefault="0062102F" w:rsidP="0062102F">
      <w:pPr>
        <w:ind w:firstLine="720"/>
        <w:rPr>
          <w:i/>
          <w:sz w:val="24"/>
        </w:rPr>
      </w:pPr>
      <w:r w:rsidRPr="0062102F">
        <w:rPr>
          <w:sz w:val="24"/>
        </w:rPr>
        <w:t xml:space="preserve">Wesley </w:t>
      </w:r>
      <w:proofErr w:type="spellStart"/>
      <w:r w:rsidRPr="0062102F">
        <w:rPr>
          <w:sz w:val="24"/>
        </w:rPr>
        <w:t>Skogan</w:t>
      </w:r>
      <w:proofErr w:type="spellEnd"/>
      <w:r w:rsidRPr="0062102F">
        <w:rPr>
          <w:sz w:val="24"/>
        </w:rPr>
        <w:t xml:space="preserve">. 2012. “Disorder and Crime.” In </w:t>
      </w:r>
      <w:r w:rsidRPr="0062102F">
        <w:rPr>
          <w:i/>
          <w:sz w:val="24"/>
        </w:rPr>
        <w:t xml:space="preserve">The Oxford Handbook of Crime </w:t>
      </w:r>
    </w:p>
    <w:p w:rsidR="0062102F" w:rsidRPr="0062102F" w:rsidRDefault="0062102F" w:rsidP="0062102F">
      <w:pPr>
        <w:ind w:left="720"/>
        <w:rPr>
          <w:sz w:val="24"/>
        </w:rPr>
      </w:pPr>
      <w:r w:rsidRPr="0062102F">
        <w:rPr>
          <w:i/>
          <w:sz w:val="24"/>
        </w:rPr>
        <w:t xml:space="preserve">Prevention, </w:t>
      </w:r>
      <w:r w:rsidRPr="0062102F">
        <w:rPr>
          <w:sz w:val="24"/>
        </w:rPr>
        <w:t>edited by Brandon C. Welsh and David P. Farrington. New York: Oxford University Press.</w:t>
      </w:r>
    </w:p>
    <w:p w:rsidR="0062102F" w:rsidRPr="0062102F" w:rsidRDefault="0062102F" w:rsidP="0062102F">
      <w:pPr>
        <w:rPr>
          <w:sz w:val="24"/>
        </w:rPr>
      </w:pPr>
    </w:p>
    <w:p w:rsidR="0062102F" w:rsidRPr="0062102F" w:rsidRDefault="0062102F" w:rsidP="0062102F">
      <w:pPr>
        <w:ind w:left="720"/>
        <w:rPr>
          <w:sz w:val="24"/>
        </w:rPr>
      </w:pPr>
      <w:r w:rsidRPr="0062102F">
        <w:rPr>
          <w:sz w:val="24"/>
        </w:rPr>
        <w:t xml:space="preserve">James Q. Wilson and George </w:t>
      </w:r>
      <w:proofErr w:type="spellStart"/>
      <w:r w:rsidRPr="0062102F">
        <w:rPr>
          <w:sz w:val="24"/>
        </w:rPr>
        <w:t>Kelling</w:t>
      </w:r>
      <w:proofErr w:type="spellEnd"/>
      <w:r w:rsidRPr="0062102F">
        <w:rPr>
          <w:sz w:val="24"/>
        </w:rPr>
        <w:t xml:space="preserve">. 1982. “Broken Windows: The Police and Neighborhood Safety.” </w:t>
      </w:r>
      <w:r w:rsidRPr="0062102F">
        <w:rPr>
          <w:i/>
          <w:sz w:val="24"/>
        </w:rPr>
        <w:t>Atlantic Monthly</w:t>
      </w:r>
      <w:r w:rsidRPr="0062102F">
        <w:rPr>
          <w:sz w:val="24"/>
        </w:rPr>
        <w:t xml:space="preserve"> (March): 29 – 38.</w:t>
      </w:r>
    </w:p>
    <w:p w:rsidR="0062102F" w:rsidRPr="0062102F" w:rsidRDefault="0062102F" w:rsidP="0062102F">
      <w:pPr>
        <w:rPr>
          <w:sz w:val="24"/>
        </w:rPr>
      </w:pPr>
    </w:p>
    <w:p w:rsidR="0062102F" w:rsidRPr="0062102F" w:rsidRDefault="0062102F" w:rsidP="0062102F">
      <w:pPr>
        <w:ind w:left="720"/>
        <w:rPr>
          <w:sz w:val="24"/>
        </w:rPr>
      </w:pPr>
      <w:r w:rsidRPr="0062102F">
        <w:rPr>
          <w:sz w:val="24"/>
        </w:rPr>
        <w:t xml:space="preserve">Chapter 4 in Malcolm Gladwell. 2000. </w:t>
      </w:r>
      <w:r w:rsidRPr="0062102F">
        <w:rPr>
          <w:i/>
          <w:sz w:val="24"/>
        </w:rPr>
        <w:t>The Tipping Point: How Little Things Can Make a Big Difference</w:t>
      </w:r>
      <w:r w:rsidRPr="0062102F">
        <w:rPr>
          <w:sz w:val="24"/>
        </w:rPr>
        <w:t>. New York: Little, Brown.</w:t>
      </w:r>
    </w:p>
    <w:p w:rsidR="0062102F" w:rsidRPr="0062102F" w:rsidRDefault="0062102F" w:rsidP="0062102F">
      <w:pPr>
        <w:rPr>
          <w:sz w:val="24"/>
        </w:rPr>
      </w:pPr>
    </w:p>
    <w:p w:rsidR="00253C6D" w:rsidRDefault="0062102F" w:rsidP="0062102F">
      <w:pPr>
        <w:ind w:left="720"/>
        <w:rPr>
          <w:sz w:val="24"/>
        </w:rPr>
      </w:pPr>
      <w:r w:rsidRPr="0062102F">
        <w:rPr>
          <w:sz w:val="24"/>
        </w:rPr>
        <w:t xml:space="preserve">Bernard Harcourt and Jens Ludwig. 2006. “Broken Windows: New Evidence from New York City and a Five-city Experiment.” </w:t>
      </w:r>
      <w:r w:rsidRPr="0062102F">
        <w:rPr>
          <w:i/>
          <w:sz w:val="24"/>
        </w:rPr>
        <w:t>University of Chicago Law Review,</w:t>
      </w:r>
      <w:r w:rsidRPr="0062102F">
        <w:rPr>
          <w:sz w:val="24"/>
        </w:rPr>
        <w:t xml:space="preserve"> 73: 271- 320.</w:t>
      </w:r>
    </w:p>
    <w:p w:rsidR="00757662" w:rsidRDefault="00757662" w:rsidP="00177054">
      <w:pPr>
        <w:rPr>
          <w:sz w:val="24"/>
        </w:rPr>
      </w:pPr>
    </w:p>
    <w:p w:rsidR="00797DD5" w:rsidRDefault="00797DD5" w:rsidP="00177054">
      <w:pPr>
        <w:rPr>
          <w:b/>
          <w:sz w:val="24"/>
        </w:rPr>
      </w:pPr>
    </w:p>
    <w:p w:rsidR="005D4BC0" w:rsidRDefault="005D4BC0" w:rsidP="00177054">
      <w:pPr>
        <w:rPr>
          <w:sz w:val="24"/>
        </w:rPr>
      </w:pPr>
    </w:p>
    <w:p w:rsidR="00177054" w:rsidRPr="00E668DF" w:rsidRDefault="00EC5A2C" w:rsidP="00177054">
      <w:pPr>
        <w:rPr>
          <w:b/>
          <w:sz w:val="24"/>
        </w:rPr>
      </w:pPr>
      <w:r>
        <w:rPr>
          <w:b/>
          <w:sz w:val="24"/>
        </w:rPr>
        <w:lastRenderedPageBreak/>
        <w:t>September</w:t>
      </w:r>
      <w:r w:rsidR="00186588">
        <w:rPr>
          <w:b/>
          <w:sz w:val="24"/>
        </w:rPr>
        <w:t xml:space="preserve"> 1</w:t>
      </w:r>
      <w:r w:rsidR="00891A40">
        <w:rPr>
          <w:b/>
          <w:sz w:val="24"/>
        </w:rPr>
        <w:t>5</w:t>
      </w:r>
      <w:r w:rsidR="004E535A" w:rsidRPr="00E668DF">
        <w:rPr>
          <w:b/>
          <w:sz w:val="24"/>
        </w:rPr>
        <w:t xml:space="preserve"> –</w:t>
      </w:r>
      <w:r w:rsidR="00C674E8">
        <w:rPr>
          <w:b/>
          <w:sz w:val="24"/>
        </w:rPr>
        <w:t xml:space="preserve"> Race, Immigration, and Crime</w:t>
      </w:r>
    </w:p>
    <w:p w:rsidR="00E668DF" w:rsidRDefault="00E668DF" w:rsidP="00177054">
      <w:pPr>
        <w:rPr>
          <w:sz w:val="24"/>
        </w:rPr>
      </w:pPr>
    </w:p>
    <w:p w:rsidR="00E668DF" w:rsidRDefault="00E668DF" w:rsidP="00177054">
      <w:pPr>
        <w:rPr>
          <w:sz w:val="24"/>
        </w:rPr>
      </w:pPr>
      <w:r>
        <w:rPr>
          <w:sz w:val="24"/>
        </w:rPr>
        <w:t xml:space="preserve">Required readings – </w:t>
      </w:r>
    </w:p>
    <w:p w:rsidR="00E668DF" w:rsidRDefault="00E668DF" w:rsidP="00177054">
      <w:pPr>
        <w:rPr>
          <w:sz w:val="24"/>
        </w:rPr>
      </w:pPr>
    </w:p>
    <w:p w:rsidR="0062102F" w:rsidRDefault="0062102F" w:rsidP="004829B5">
      <w:pPr>
        <w:ind w:left="720"/>
        <w:rPr>
          <w:sz w:val="24"/>
          <w:szCs w:val="24"/>
        </w:rPr>
      </w:pPr>
      <w:r>
        <w:rPr>
          <w:sz w:val="24"/>
          <w:szCs w:val="24"/>
        </w:rPr>
        <w:t xml:space="preserve">Rod K. Brunson and Jacinta </w:t>
      </w:r>
      <w:proofErr w:type="spellStart"/>
      <w:r>
        <w:rPr>
          <w:sz w:val="24"/>
          <w:szCs w:val="24"/>
        </w:rPr>
        <w:t>Gau</w:t>
      </w:r>
      <w:proofErr w:type="spellEnd"/>
      <w:r>
        <w:rPr>
          <w:sz w:val="24"/>
          <w:szCs w:val="24"/>
        </w:rPr>
        <w:t xml:space="preserve">. 2014. “Race, Place, and Policing the Inner-City.” In </w:t>
      </w:r>
      <w:r w:rsidRPr="0062102F">
        <w:rPr>
          <w:i/>
          <w:sz w:val="24"/>
          <w:szCs w:val="24"/>
        </w:rPr>
        <w:t>The Oxford Handbook of Police and Policing</w:t>
      </w:r>
      <w:r>
        <w:rPr>
          <w:sz w:val="24"/>
          <w:szCs w:val="24"/>
        </w:rPr>
        <w:t xml:space="preserve">, edited by Michael D. </w:t>
      </w:r>
      <w:proofErr w:type="spellStart"/>
      <w:r>
        <w:rPr>
          <w:sz w:val="24"/>
          <w:szCs w:val="24"/>
        </w:rPr>
        <w:t>Reisig</w:t>
      </w:r>
      <w:proofErr w:type="spellEnd"/>
      <w:r>
        <w:rPr>
          <w:sz w:val="24"/>
          <w:szCs w:val="24"/>
        </w:rPr>
        <w:t xml:space="preserve"> and Robert J. Kane. New York: Oxford University Press.</w:t>
      </w:r>
    </w:p>
    <w:p w:rsidR="0062102F" w:rsidRDefault="0062102F" w:rsidP="0062102F">
      <w:pPr>
        <w:ind w:left="720"/>
        <w:rPr>
          <w:sz w:val="24"/>
        </w:rPr>
      </w:pPr>
    </w:p>
    <w:p w:rsidR="0062102F" w:rsidRDefault="0062102F" w:rsidP="0062102F">
      <w:pPr>
        <w:ind w:left="720"/>
        <w:rPr>
          <w:sz w:val="24"/>
        </w:rPr>
      </w:pPr>
      <w:r>
        <w:rPr>
          <w:sz w:val="24"/>
        </w:rPr>
        <w:t xml:space="preserve">Janet </w:t>
      </w:r>
      <w:proofErr w:type="spellStart"/>
      <w:r>
        <w:rPr>
          <w:sz w:val="24"/>
        </w:rPr>
        <w:t>Lauritsen</w:t>
      </w:r>
      <w:proofErr w:type="spellEnd"/>
      <w:r>
        <w:rPr>
          <w:sz w:val="24"/>
        </w:rPr>
        <w:t xml:space="preserve"> and Robert Sampson. 1998. “Minorities, Crime, and Criminal Justice.” In </w:t>
      </w:r>
      <w:r>
        <w:rPr>
          <w:i/>
          <w:sz w:val="24"/>
        </w:rPr>
        <w:t>The Handbook of Crime and Punishment</w:t>
      </w:r>
      <w:r>
        <w:rPr>
          <w:sz w:val="24"/>
        </w:rPr>
        <w:t xml:space="preserve">, edited by Michael </w:t>
      </w:r>
      <w:proofErr w:type="spellStart"/>
      <w:r>
        <w:rPr>
          <w:sz w:val="24"/>
        </w:rPr>
        <w:t>Tonry</w:t>
      </w:r>
      <w:proofErr w:type="spellEnd"/>
      <w:r>
        <w:rPr>
          <w:sz w:val="24"/>
        </w:rPr>
        <w:t xml:space="preserve">.  </w:t>
      </w:r>
      <w:smartTag w:uri="urn:schemas-microsoft-com:office:smarttags" w:element="State">
        <w:r>
          <w:rPr>
            <w:sz w:val="24"/>
          </w:rPr>
          <w:t>New York</w:t>
        </w:r>
      </w:smartTag>
      <w:r>
        <w:rPr>
          <w:sz w:val="24"/>
        </w:rPr>
        <w:t xml:space="preserve">: </w:t>
      </w:r>
      <w:smartTag w:uri="urn:schemas-microsoft-com:office:smarttags" w:element="place">
        <w:smartTag w:uri="urn:schemas-microsoft-com:office:smarttags" w:element="PlaceName">
          <w:r>
            <w:rPr>
              <w:sz w:val="24"/>
            </w:rPr>
            <w:t>Oxford</w:t>
          </w:r>
        </w:smartTag>
        <w:r>
          <w:rPr>
            <w:sz w:val="24"/>
          </w:rPr>
          <w:t xml:space="preserve"> </w:t>
        </w:r>
        <w:smartTag w:uri="urn:schemas-microsoft-com:office:smarttags" w:element="PlaceType">
          <w:r>
            <w:rPr>
              <w:sz w:val="24"/>
            </w:rPr>
            <w:t>University</w:t>
          </w:r>
        </w:smartTag>
      </w:smartTag>
      <w:r>
        <w:rPr>
          <w:sz w:val="24"/>
        </w:rPr>
        <w:t xml:space="preserve"> Press. </w:t>
      </w:r>
    </w:p>
    <w:p w:rsidR="0062102F" w:rsidRDefault="0062102F" w:rsidP="004829B5">
      <w:pPr>
        <w:ind w:left="720"/>
        <w:rPr>
          <w:sz w:val="24"/>
          <w:szCs w:val="24"/>
        </w:rPr>
      </w:pPr>
    </w:p>
    <w:p w:rsidR="00E668DF" w:rsidRPr="00816846" w:rsidRDefault="00816846" w:rsidP="004829B5">
      <w:pPr>
        <w:ind w:left="720"/>
        <w:rPr>
          <w:sz w:val="24"/>
          <w:szCs w:val="24"/>
        </w:rPr>
      </w:pPr>
      <w:r w:rsidRPr="00816846">
        <w:rPr>
          <w:sz w:val="24"/>
          <w:szCs w:val="24"/>
        </w:rPr>
        <w:t>Robert J. Sampson. 2006. “Open Doors Don’t Invite Crimi</w:t>
      </w:r>
      <w:r>
        <w:rPr>
          <w:sz w:val="24"/>
          <w:szCs w:val="24"/>
        </w:rPr>
        <w:t xml:space="preserve">nals: Is Increased Immigration </w:t>
      </w:r>
      <w:r w:rsidRPr="00816846">
        <w:rPr>
          <w:sz w:val="24"/>
          <w:szCs w:val="24"/>
        </w:rPr>
        <w:t xml:space="preserve">Behind the Drop in Crime?” </w:t>
      </w:r>
      <w:r w:rsidRPr="00816846">
        <w:rPr>
          <w:i/>
          <w:iCs/>
          <w:sz w:val="24"/>
          <w:szCs w:val="24"/>
        </w:rPr>
        <w:t>New York Times</w:t>
      </w:r>
      <w:r w:rsidRPr="00816846">
        <w:rPr>
          <w:sz w:val="24"/>
          <w:szCs w:val="24"/>
        </w:rPr>
        <w:t>, March 11, p. A27.</w:t>
      </w:r>
    </w:p>
    <w:p w:rsidR="0062102F" w:rsidRDefault="0062102F" w:rsidP="0062102F">
      <w:pPr>
        <w:ind w:left="720"/>
        <w:rPr>
          <w:sz w:val="24"/>
        </w:rPr>
      </w:pPr>
    </w:p>
    <w:p w:rsidR="004829B5" w:rsidRPr="00816846" w:rsidRDefault="004829B5" w:rsidP="004829B5">
      <w:pPr>
        <w:ind w:left="720"/>
        <w:rPr>
          <w:sz w:val="24"/>
          <w:szCs w:val="24"/>
        </w:rPr>
      </w:pPr>
      <w:r w:rsidRPr="00816846">
        <w:rPr>
          <w:sz w:val="24"/>
          <w:szCs w:val="24"/>
        </w:rPr>
        <w:t xml:space="preserve">Chapter 1 – “The Race Question in Criminal Law.” In Randall Kennedy. 1997. </w:t>
      </w:r>
      <w:r w:rsidRPr="00816846">
        <w:rPr>
          <w:i/>
          <w:sz w:val="24"/>
          <w:szCs w:val="24"/>
        </w:rPr>
        <w:t>Race, Crime, and the Law</w:t>
      </w:r>
      <w:r w:rsidRPr="00816846">
        <w:rPr>
          <w:sz w:val="24"/>
          <w:szCs w:val="24"/>
        </w:rPr>
        <w:t>. New York: Vintage Books.</w:t>
      </w:r>
    </w:p>
    <w:p w:rsidR="009557DC" w:rsidRDefault="009557DC" w:rsidP="009557DC">
      <w:pPr>
        <w:ind w:left="720"/>
        <w:rPr>
          <w:sz w:val="24"/>
        </w:rPr>
      </w:pPr>
    </w:p>
    <w:p w:rsidR="00FE6E9A" w:rsidRDefault="00FE6E9A" w:rsidP="00C674E8">
      <w:pPr>
        <w:rPr>
          <w:b/>
          <w:sz w:val="24"/>
        </w:rPr>
      </w:pPr>
    </w:p>
    <w:p w:rsidR="00C674E8" w:rsidRDefault="00186588" w:rsidP="00C674E8">
      <w:pPr>
        <w:rPr>
          <w:sz w:val="24"/>
        </w:rPr>
      </w:pPr>
      <w:r>
        <w:rPr>
          <w:b/>
          <w:sz w:val="24"/>
        </w:rPr>
        <w:t>September</w:t>
      </w:r>
      <w:r w:rsidR="000F0FA7">
        <w:rPr>
          <w:b/>
          <w:sz w:val="24"/>
        </w:rPr>
        <w:t xml:space="preserve"> 1</w:t>
      </w:r>
      <w:r w:rsidR="00891A40">
        <w:rPr>
          <w:b/>
          <w:sz w:val="24"/>
        </w:rPr>
        <w:t>7</w:t>
      </w:r>
      <w:r w:rsidR="00EC5A2C" w:rsidRPr="00797DD5">
        <w:rPr>
          <w:b/>
          <w:sz w:val="24"/>
        </w:rPr>
        <w:t xml:space="preserve"> – </w:t>
      </w:r>
      <w:r w:rsidR="00C674E8" w:rsidRPr="004829B5">
        <w:rPr>
          <w:b/>
          <w:sz w:val="24"/>
        </w:rPr>
        <w:t>Guest speaker</w:t>
      </w:r>
      <w:r w:rsidR="00C674E8">
        <w:rPr>
          <w:sz w:val="24"/>
        </w:rPr>
        <w:t xml:space="preserve"> – Rev. Jeffrey Brown, Boston Ten Point Coalition</w:t>
      </w:r>
    </w:p>
    <w:p w:rsidR="00EC5A2C" w:rsidRDefault="00EC5A2C" w:rsidP="00EC5A2C">
      <w:pPr>
        <w:rPr>
          <w:sz w:val="24"/>
        </w:rPr>
      </w:pPr>
    </w:p>
    <w:p w:rsidR="00EC5A2C" w:rsidRDefault="00EC5A2C" w:rsidP="00EC5A2C">
      <w:pPr>
        <w:rPr>
          <w:sz w:val="24"/>
        </w:rPr>
      </w:pPr>
      <w:r>
        <w:rPr>
          <w:sz w:val="24"/>
        </w:rPr>
        <w:t>Required readings –</w:t>
      </w:r>
    </w:p>
    <w:p w:rsidR="00AB6045" w:rsidRDefault="00AB6045" w:rsidP="00AB6045">
      <w:pPr>
        <w:ind w:left="720"/>
        <w:rPr>
          <w:sz w:val="24"/>
          <w:szCs w:val="24"/>
        </w:rPr>
      </w:pPr>
    </w:p>
    <w:p w:rsidR="0062102F" w:rsidRDefault="0062102F" w:rsidP="0062102F">
      <w:pPr>
        <w:ind w:left="720"/>
        <w:rPr>
          <w:sz w:val="24"/>
          <w:szCs w:val="24"/>
        </w:rPr>
      </w:pPr>
      <w:r w:rsidRPr="0062102F">
        <w:rPr>
          <w:sz w:val="24"/>
          <w:szCs w:val="24"/>
        </w:rPr>
        <w:t>Rod K.</w:t>
      </w:r>
      <w:r w:rsidR="0015535F">
        <w:rPr>
          <w:sz w:val="24"/>
          <w:szCs w:val="24"/>
        </w:rPr>
        <w:t xml:space="preserve"> Brunson</w:t>
      </w:r>
      <w:r w:rsidRPr="0062102F">
        <w:rPr>
          <w:sz w:val="24"/>
          <w:szCs w:val="24"/>
        </w:rPr>
        <w:t xml:space="preserve">, Anthony A. Braga, David M. </w:t>
      </w:r>
      <w:proofErr w:type="spellStart"/>
      <w:r w:rsidRPr="0062102F">
        <w:rPr>
          <w:sz w:val="24"/>
          <w:szCs w:val="24"/>
        </w:rPr>
        <w:t>Hureau</w:t>
      </w:r>
      <w:proofErr w:type="spellEnd"/>
      <w:r w:rsidRPr="0062102F">
        <w:rPr>
          <w:sz w:val="24"/>
          <w:szCs w:val="24"/>
        </w:rPr>
        <w:t xml:space="preserve">, and </w:t>
      </w:r>
      <w:proofErr w:type="spellStart"/>
      <w:r w:rsidRPr="0062102F">
        <w:rPr>
          <w:sz w:val="24"/>
          <w:szCs w:val="24"/>
        </w:rPr>
        <w:t>Kashea</w:t>
      </w:r>
      <w:proofErr w:type="spellEnd"/>
      <w:r w:rsidRPr="0062102F">
        <w:rPr>
          <w:sz w:val="24"/>
          <w:szCs w:val="24"/>
        </w:rPr>
        <w:t xml:space="preserve"> </w:t>
      </w:r>
      <w:proofErr w:type="spellStart"/>
      <w:r w:rsidRPr="0062102F">
        <w:rPr>
          <w:sz w:val="24"/>
          <w:szCs w:val="24"/>
        </w:rPr>
        <w:t>Pegram</w:t>
      </w:r>
      <w:proofErr w:type="spellEnd"/>
      <w:r w:rsidRPr="0062102F">
        <w:rPr>
          <w:sz w:val="24"/>
          <w:szCs w:val="24"/>
        </w:rPr>
        <w:t xml:space="preserve">. 2013. “We Trust You, But Not That Much: Examining Police–Black Clergy Partnerships to Reduce Youth Violence.” </w:t>
      </w:r>
      <w:r w:rsidRPr="0062102F">
        <w:rPr>
          <w:i/>
          <w:sz w:val="24"/>
          <w:szCs w:val="24"/>
        </w:rPr>
        <w:t>Justice Quarterly</w:t>
      </w:r>
      <w:r>
        <w:rPr>
          <w:sz w:val="24"/>
          <w:szCs w:val="24"/>
        </w:rPr>
        <w:t xml:space="preserve"> (forthcoming).</w:t>
      </w:r>
    </w:p>
    <w:p w:rsidR="00F600B7" w:rsidRDefault="00F600B7" w:rsidP="0062102F">
      <w:pPr>
        <w:ind w:left="720"/>
        <w:rPr>
          <w:sz w:val="24"/>
          <w:szCs w:val="24"/>
        </w:rPr>
      </w:pPr>
    </w:p>
    <w:p w:rsidR="00F600B7" w:rsidRPr="0062102F" w:rsidRDefault="00F600B7" w:rsidP="0062102F">
      <w:pPr>
        <w:ind w:left="720"/>
        <w:rPr>
          <w:sz w:val="24"/>
          <w:szCs w:val="24"/>
        </w:rPr>
      </w:pPr>
      <w:r>
        <w:rPr>
          <w:sz w:val="24"/>
          <w:szCs w:val="24"/>
        </w:rPr>
        <w:t xml:space="preserve">Christopher </w:t>
      </w:r>
      <w:proofErr w:type="spellStart"/>
      <w:r>
        <w:rPr>
          <w:sz w:val="24"/>
          <w:szCs w:val="24"/>
        </w:rPr>
        <w:t>Winship</w:t>
      </w:r>
      <w:proofErr w:type="spellEnd"/>
      <w:r>
        <w:rPr>
          <w:sz w:val="24"/>
          <w:szCs w:val="24"/>
        </w:rPr>
        <w:t xml:space="preserve"> and Jenny Berrien. 1999. “Boston Cops and Black Churches</w:t>
      </w:r>
      <w:r w:rsidRPr="00F600B7">
        <w:rPr>
          <w:i/>
          <w:sz w:val="24"/>
          <w:szCs w:val="24"/>
        </w:rPr>
        <w:t>.” The Public Interest</w:t>
      </w:r>
      <w:r>
        <w:rPr>
          <w:sz w:val="24"/>
          <w:szCs w:val="24"/>
        </w:rPr>
        <w:t>, 136: 52 – 68.</w:t>
      </w:r>
    </w:p>
    <w:p w:rsidR="0062102F" w:rsidRDefault="0062102F" w:rsidP="00AB6045">
      <w:pPr>
        <w:ind w:left="720"/>
        <w:rPr>
          <w:sz w:val="24"/>
          <w:szCs w:val="24"/>
        </w:rPr>
      </w:pPr>
    </w:p>
    <w:p w:rsidR="00F600B7" w:rsidRDefault="00F600B7" w:rsidP="00F600B7">
      <w:pPr>
        <w:ind w:firstLine="720"/>
        <w:rPr>
          <w:sz w:val="24"/>
          <w:szCs w:val="24"/>
        </w:rPr>
      </w:pPr>
      <w:r>
        <w:rPr>
          <w:sz w:val="24"/>
          <w:szCs w:val="24"/>
        </w:rPr>
        <w:t xml:space="preserve">Dennis P. Rosenbaum and Amie M. </w:t>
      </w:r>
      <w:proofErr w:type="spellStart"/>
      <w:r>
        <w:rPr>
          <w:sz w:val="24"/>
          <w:szCs w:val="24"/>
        </w:rPr>
        <w:t>Schuck</w:t>
      </w:r>
      <w:proofErr w:type="spellEnd"/>
      <w:r>
        <w:rPr>
          <w:sz w:val="24"/>
          <w:szCs w:val="24"/>
        </w:rPr>
        <w:t xml:space="preserve">. 2012. “Comprehensive Community </w:t>
      </w:r>
    </w:p>
    <w:p w:rsidR="00F600B7" w:rsidRPr="00F600B7" w:rsidRDefault="00F600B7" w:rsidP="00F600B7">
      <w:pPr>
        <w:ind w:left="720"/>
        <w:rPr>
          <w:i/>
          <w:sz w:val="24"/>
        </w:rPr>
      </w:pPr>
      <w:r>
        <w:rPr>
          <w:sz w:val="24"/>
          <w:szCs w:val="24"/>
        </w:rPr>
        <w:t xml:space="preserve">Partnerships for Preventing Crime.” </w:t>
      </w:r>
      <w:r w:rsidRPr="0062102F">
        <w:rPr>
          <w:sz w:val="24"/>
        </w:rPr>
        <w:t xml:space="preserve">In </w:t>
      </w:r>
      <w:r w:rsidRPr="0062102F">
        <w:rPr>
          <w:i/>
          <w:sz w:val="24"/>
        </w:rPr>
        <w:t xml:space="preserve">The Oxford Handbook of Crime Prevention, </w:t>
      </w:r>
      <w:r w:rsidRPr="0062102F">
        <w:rPr>
          <w:sz w:val="24"/>
        </w:rPr>
        <w:t>edited by Brandon C. Welsh and David P. Farrington. New York: Oxford University Press.</w:t>
      </w:r>
    </w:p>
    <w:p w:rsidR="00EC5A2C" w:rsidRPr="00F62AAB" w:rsidRDefault="00EC5A2C" w:rsidP="0062102F">
      <w:pPr>
        <w:rPr>
          <w:sz w:val="22"/>
          <w:szCs w:val="22"/>
        </w:rPr>
      </w:pPr>
      <w:r>
        <w:rPr>
          <w:sz w:val="24"/>
        </w:rPr>
        <w:tab/>
      </w:r>
    </w:p>
    <w:p w:rsidR="00F600B7" w:rsidRDefault="00F600B7" w:rsidP="00177054">
      <w:pPr>
        <w:rPr>
          <w:b/>
          <w:sz w:val="24"/>
        </w:rPr>
      </w:pPr>
    </w:p>
    <w:p w:rsidR="00177054" w:rsidRPr="004829B5" w:rsidRDefault="00186588" w:rsidP="00177054">
      <w:pPr>
        <w:rPr>
          <w:b/>
          <w:sz w:val="24"/>
        </w:rPr>
      </w:pPr>
      <w:r>
        <w:rPr>
          <w:b/>
          <w:sz w:val="24"/>
        </w:rPr>
        <w:t>September</w:t>
      </w:r>
      <w:r w:rsidR="000F0FA7">
        <w:rPr>
          <w:b/>
          <w:sz w:val="24"/>
        </w:rPr>
        <w:t xml:space="preserve"> </w:t>
      </w:r>
      <w:r>
        <w:rPr>
          <w:b/>
          <w:sz w:val="24"/>
        </w:rPr>
        <w:t>2</w:t>
      </w:r>
      <w:r w:rsidR="00891A40">
        <w:rPr>
          <w:b/>
          <w:sz w:val="24"/>
        </w:rPr>
        <w:t>2</w:t>
      </w:r>
      <w:r w:rsidR="004E535A" w:rsidRPr="004829B5">
        <w:rPr>
          <w:b/>
          <w:sz w:val="24"/>
        </w:rPr>
        <w:t xml:space="preserve"> – </w:t>
      </w:r>
      <w:r w:rsidR="00C674E8">
        <w:rPr>
          <w:b/>
          <w:sz w:val="24"/>
        </w:rPr>
        <w:t>Families and Crime</w:t>
      </w:r>
    </w:p>
    <w:p w:rsidR="00177054" w:rsidRDefault="00177054" w:rsidP="00177054">
      <w:pPr>
        <w:rPr>
          <w:sz w:val="24"/>
        </w:rPr>
      </w:pPr>
    </w:p>
    <w:p w:rsidR="004343F5" w:rsidRDefault="004343F5" w:rsidP="00177054">
      <w:pPr>
        <w:rPr>
          <w:sz w:val="24"/>
        </w:rPr>
      </w:pPr>
      <w:r>
        <w:rPr>
          <w:sz w:val="24"/>
        </w:rPr>
        <w:t xml:space="preserve">Required readings – </w:t>
      </w:r>
    </w:p>
    <w:p w:rsidR="004343F5" w:rsidRDefault="00A323D7" w:rsidP="00177054">
      <w:pPr>
        <w:rPr>
          <w:sz w:val="24"/>
        </w:rPr>
      </w:pPr>
      <w:r>
        <w:rPr>
          <w:sz w:val="24"/>
        </w:rPr>
        <w:tab/>
      </w:r>
    </w:p>
    <w:p w:rsidR="0015535F" w:rsidRDefault="0015535F" w:rsidP="0015535F">
      <w:pPr>
        <w:ind w:firstLine="720"/>
        <w:rPr>
          <w:sz w:val="24"/>
        </w:rPr>
      </w:pPr>
      <w:r>
        <w:rPr>
          <w:sz w:val="24"/>
        </w:rPr>
        <w:t xml:space="preserve">David P. Farrington. 2011. “Families and Crime.” In </w:t>
      </w:r>
      <w:r w:rsidRPr="00253C6D">
        <w:rPr>
          <w:i/>
          <w:sz w:val="24"/>
        </w:rPr>
        <w:t>Crime and Public Policy</w:t>
      </w:r>
      <w:r>
        <w:rPr>
          <w:sz w:val="24"/>
        </w:rPr>
        <w:t xml:space="preserve">, edited by </w:t>
      </w:r>
    </w:p>
    <w:p w:rsidR="0015535F" w:rsidRDefault="0015535F" w:rsidP="0015535F">
      <w:pPr>
        <w:ind w:firstLine="720"/>
        <w:rPr>
          <w:sz w:val="24"/>
        </w:rPr>
      </w:pPr>
      <w:r>
        <w:rPr>
          <w:sz w:val="24"/>
        </w:rPr>
        <w:t xml:space="preserve">James Q. Wilson and Joan </w:t>
      </w:r>
      <w:proofErr w:type="spellStart"/>
      <w:r>
        <w:rPr>
          <w:sz w:val="24"/>
        </w:rPr>
        <w:t>Petersilia</w:t>
      </w:r>
      <w:proofErr w:type="spellEnd"/>
      <w:r>
        <w:rPr>
          <w:sz w:val="24"/>
        </w:rPr>
        <w:t>. New York: Oxford University Press.</w:t>
      </w:r>
    </w:p>
    <w:p w:rsidR="0015535F" w:rsidRDefault="0015535F" w:rsidP="0015535F">
      <w:pPr>
        <w:ind w:left="720"/>
        <w:rPr>
          <w:sz w:val="24"/>
        </w:rPr>
      </w:pPr>
    </w:p>
    <w:p w:rsidR="0015535F" w:rsidRDefault="0015535F" w:rsidP="0015535F">
      <w:pPr>
        <w:ind w:left="720"/>
        <w:rPr>
          <w:sz w:val="24"/>
        </w:rPr>
      </w:pPr>
      <w:r>
        <w:rPr>
          <w:sz w:val="24"/>
        </w:rPr>
        <w:t xml:space="preserve">Terrie E. Moffitt, Stephen Ross, and Adrian </w:t>
      </w:r>
      <w:proofErr w:type="spellStart"/>
      <w:r>
        <w:rPr>
          <w:sz w:val="24"/>
        </w:rPr>
        <w:t>Raine</w:t>
      </w:r>
      <w:proofErr w:type="spellEnd"/>
      <w:r>
        <w:rPr>
          <w:sz w:val="24"/>
        </w:rPr>
        <w:t xml:space="preserve">. 2011. “Crime and Biology.” In </w:t>
      </w:r>
      <w:r w:rsidRPr="00253C6D">
        <w:rPr>
          <w:i/>
          <w:sz w:val="24"/>
        </w:rPr>
        <w:t>Crime and Public Policy</w:t>
      </w:r>
      <w:r>
        <w:rPr>
          <w:sz w:val="24"/>
        </w:rPr>
        <w:t xml:space="preserve">, edited by James Q. Wilson and Joan </w:t>
      </w:r>
      <w:proofErr w:type="spellStart"/>
      <w:r>
        <w:rPr>
          <w:sz w:val="24"/>
        </w:rPr>
        <w:t>Petersilia</w:t>
      </w:r>
      <w:proofErr w:type="spellEnd"/>
      <w:r>
        <w:rPr>
          <w:sz w:val="24"/>
        </w:rPr>
        <w:t>. New York: Oxford University Press.</w:t>
      </w:r>
    </w:p>
    <w:p w:rsidR="0015535F" w:rsidRDefault="0015535F" w:rsidP="0015535F">
      <w:pPr>
        <w:ind w:left="720"/>
        <w:rPr>
          <w:sz w:val="24"/>
        </w:rPr>
      </w:pPr>
    </w:p>
    <w:p w:rsidR="007A0484" w:rsidRDefault="007A0484" w:rsidP="0015535F">
      <w:pPr>
        <w:ind w:firstLine="720"/>
        <w:rPr>
          <w:i/>
          <w:sz w:val="24"/>
        </w:rPr>
      </w:pPr>
      <w:r>
        <w:rPr>
          <w:sz w:val="24"/>
        </w:rPr>
        <w:lastRenderedPageBreak/>
        <w:t xml:space="preserve">Chapter 1 in Adrian Nicole LeBlanc. 2003. </w:t>
      </w:r>
      <w:r>
        <w:rPr>
          <w:i/>
          <w:sz w:val="24"/>
        </w:rPr>
        <w:t xml:space="preserve">Random Family: Love, Drugs, Trouble, and </w:t>
      </w:r>
    </w:p>
    <w:p w:rsidR="007A0484" w:rsidRDefault="007A0484" w:rsidP="007A0484">
      <w:pPr>
        <w:rPr>
          <w:sz w:val="24"/>
        </w:rPr>
      </w:pPr>
      <w:r>
        <w:rPr>
          <w:i/>
          <w:sz w:val="24"/>
        </w:rPr>
        <w:tab/>
        <w:t>Coming of Age in the Bronx.</w:t>
      </w:r>
      <w:r>
        <w:rPr>
          <w:sz w:val="24"/>
        </w:rPr>
        <w:t xml:space="preserve"> </w:t>
      </w:r>
      <w:smartTag w:uri="urn:schemas-microsoft-com:office:smarttags" w:element="State">
        <w:smartTag w:uri="urn:schemas-microsoft-com:office:smarttags" w:element="place">
          <w:r>
            <w:rPr>
              <w:sz w:val="24"/>
            </w:rPr>
            <w:t>New York</w:t>
          </w:r>
        </w:smartTag>
      </w:smartTag>
      <w:r>
        <w:rPr>
          <w:sz w:val="24"/>
        </w:rPr>
        <w:t>: Scribner.</w:t>
      </w:r>
    </w:p>
    <w:p w:rsidR="00ED6EEF" w:rsidRDefault="00ED6EEF" w:rsidP="00A3451C">
      <w:pPr>
        <w:ind w:left="720"/>
        <w:rPr>
          <w:sz w:val="24"/>
        </w:rPr>
      </w:pPr>
    </w:p>
    <w:p w:rsidR="00177054" w:rsidRPr="00A3451C" w:rsidRDefault="00891A40" w:rsidP="00177054">
      <w:pPr>
        <w:rPr>
          <w:b/>
          <w:sz w:val="24"/>
        </w:rPr>
      </w:pPr>
      <w:r>
        <w:rPr>
          <w:b/>
          <w:sz w:val="24"/>
        </w:rPr>
        <w:t>September 24</w:t>
      </w:r>
      <w:r w:rsidR="004E535A" w:rsidRPr="00A3451C">
        <w:rPr>
          <w:b/>
          <w:sz w:val="24"/>
        </w:rPr>
        <w:t xml:space="preserve"> –</w:t>
      </w:r>
      <w:r w:rsidR="008037BD" w:rsidRPr="00A3451C">
        <w:rPr>
          <w:b/>
          <w:sz w:val="24"/>
        </w:rPr>
        <w:t xml:space="preserve"> </w:t>
      </w:r>
      <w:r w:rsidR="00C674E8">
        <w:rPr>
          <w:b/>
          <w:sz w:val="24"/>
        </w:rPr>
        <w:t>Schools and Crime</w:t>
      </w:r>
    </w:p>
    <w:p w:rsidR="004E535A" w:rsidRDefault="004E535A" w:rsidP="00177054">
      <w:pPr>
        <w:rPr>
          <w:sz w:val="24"/>
        </w:rPr>
      </w:pPr>
    </w:p>
    <w:p w:rsidR="00A3451C" w:rsidRDefault="00A3451C" w:rsidP="00177054">
      <w:pPr>
        <w:rPr>
          <w:sz w:val="24"/>
        </w:rPr>
      </w:pPr>
      <w:r>
        <w:rPr>
          <w:sz w:val="24"/>
        </w:rPr>
        <w:t xml:space="preserve">Required readings – </w:t>
      </w:r>
    </w:p>
    <w:p w:rsidR="00A3451C" w:rsidRDefault="00ED6EEF" w:rsidP="00177054">
      <w:pPr>
        <w:rPr>
          <w:sz w:val="24"/>
        </w:rPr>
      </w:pPr>
      <w:r>
        <w:rPr>
          <w:sz w:val="24"/>
        </w:rPr>
        <w:tab/>
      </w:r>
    </w:p>
    <w:p w:rsidR="0015535F" w:rsidRDefault="0015535F" w:rsidP="00AB6045">
      <w:pPr>
        <w:ind w:left="720"/>
        <w:rPr>
          <w:sz w:val="24"/>
        </w:rPr>
      </w:pPr>
      <w:r>
        <w:rPr>
          <w:sz w:val="24"/>
        </w:rPr>
        <w:t xml:space="preserve">Denise C. </w:t>
      </w:r>
      <w:proofErr w:type="spellStart"/>
      <w:r>
        <w:rPr>
          <w:sz w:val="24"/>
        </w:rPr>
        <w:t>Gottfredson</w:t>
      </w:r>
      <w:proofErr w:type="spellEnd"/>
      <w:r>
        <w:rPr>
          <w:sz w:val="24"/>
        </w:rPr>
        <w:t xml:space="preserve">, Philip J. Cook, and </w:t>
      </w:r>
      <w:proofErr w:type="spellStart"/>
      <w:r>
        <w:rPr>
          <w:sz w:val="24"/>
        </w:rPr>
        <w:t>Chongmin</w:t>
      </w:r>
      <w:proofErr w:type="spellEnd"/>
      <w:r>
        <w:rPr>
          <w:sz w:val="24"/>
        </w:rPr>
        <w:t xml:space="preserve"> Na. 2012. “Schools and Prevention.” </w:t>
      </w:r>
      <w:r w:rsidRPr="0062102F">
        <w:rPr>
          <w:sz w:val="24"/>
        </w:rPr>
        <w:t xml:space="preserve">In </w:t>
      </w:r>
      <w:r w:rsidRPr="0062102F">
        <w:rPr>
          <w:i/>
          <w:sz w:val="24"/>
        </w:rPr>
        <w:t xml:space="preserve">The Oxford Handbook of Crime Prevention, </w:t>
      </w:r>
      <w:r w:rsidRPr="0062102F">
        <w:rPr>
          <w:sz w:val="24"/>
        </w:rPr>
        <w:t>edited by Brandon C. Welsh and David P. Farrington. New York: Oxford University Press.</w:t>
      </w:r>
    </w:p>
    <w:p w:rsidR="0015535F" w:rsidRDefault="0015535F" w:rsidP="00AB6045">
      <w:pPr>
        <w:ind w:left="720"/>
        <w:rPr>
          <w:sz w:val="24"/>
        </w:rPr>
      </w:pPr>
    </w:p>
    <w:p w:rsidR="00EF449E" w:rsidRDefault="00EF449E" w:rsidP="00AB6045">
      <w:pPr>
        <w:ind w:left="720"/>
        <w:rPr>
          <w:sz w:val="24"/>
        </w:rPr>
      </w:pPr>
      <w:r>
        <w:rPr>
          <w:sz w:val="24"/>
        </w:rPr>
        <w:t xml:space="preserve">Jeff </w:t>
      </w:r>
      <w:proofErr w:type="spellStart"/>
      <w:r>
        <w:rPr>
          <w:sz w:val="24"/>
        </w:rPr>
        <w:t>Deeney</w:t>
      </w:r>
      <w:proofErr w:type="spellEnd"/>
      <w:r>
        <w:rPr>
          <w:sz w:val="24"/>
        </w:rPr>
        <w:t xml:space="preserve">. 2014. “How to Discipline Students Without Turning the School Into a Prison: New Guidelines From the U.S. Departments of Justice and Education Urge Schools to Abandon ‘Zero Tolerance’ Policies.” </w:t>
      </w:r>
      <w:r w:rsidRPr="00EF449E">
        <w:rPr>
          <w:i/>
          <w:sz w:val="24"/>
        </w:rPr>
        <w:t>The Atlantic</w:t>
      </w:r>
      <w:r>
        <w:rPr>
          <w:sz w:val="24"/>
        </w:rPr>
        <w:t>, January 9.</w:t>
      </w:r>
    </w:p>
    <w:p w:rsidR="00EF449E" w:rsidRDefault="00EF449E" w:rsidP="00AB6045">
      <w:pPr>
        <w:ind w:left="720"/>
        <w:rPr>
          <w:sz w:val="24"/>
        </w:rPr>
      </w:pPr>
    </w:p>
    <w:p w:rsidR="00A3451C" w:rsidRDefault="0015535F" w:rsidP="00AB6045">
      <w:pPr>
        <w:ind w:left="720"/>
        <w:rPr>
          <w:sz w:val="24"/>
        </w:rPr>
      </w:pPr>
      <w:r>
        <w:rPr>
          <w:sz w:val="24"/>
        </w:rPr>
        <w:t xml:space="preserve">Chapter 3 in Katherine Newman. 2004. </w:t>
      </w:r>
      <w:r>
        <w:rPr>
          <w:i/>
          <w:sz w:val="24"/>
        </w:rPr>
        <w:t>Rampage: The Social Roots of School Shootings</w:t>
      </w:r>
      <w:r>
        <w:rPr>
          <w:sz w:val="24"/>
        </w:rPr>
        <w:t>. New York: Basic Books.</w:t>
      </w:r>
    </w:p>
    <w:p w:rsidR="00680DE5" w:rsidRDefault="00680DE5" w:rsidP="00177054">
      <w:pPr>
        <w:rPr>
          <w:sz w:val="24"/>
        </w:rPr>
      </w:pPr>
    </w:p>
    <w:p w:rsidR="00EF449E" w:rsidRDefault="00EF449E" w:rsidP="00680DE5">
      <w:pPr>
        <w:rPr>
          <w:b/>
          <w:sz w:val="24"/>
        </w:rPr>
      </w:pPr>
    </w:p>
    <w:p w:rsidR="00680DE5" w:rsidRDefault="00680DE5" w:rsidP="00680DE5">
      <w:pPr>
        <w:rPr>
          <w:sz w:val="24"/>
        </w:rPr>
      </w:pPr>
      <w:r>
        <w:rPr>
          <w:b/>
          <w:sz w:val="24"/>
        </w:rPr>
        <w:t xml:space="preserve">September </w:t>
      </w:r>
      <w:r w:rsidR="00891A40">
        <w:rPr>
          <w:b/>
          <w:sz w:val="24"/>
        </w:rPr>
        <w:t>29</w:t>
      </w:r>
      <w:r w:rsidRPr="007E42E7">
        <w:rPr>
          <w:b/>
          <w:sz w:val="24"/>
        </w:rPr>
        <w:t xml:space="preserve"> </w:t>
      </w:r>
      <w:r w:rsidRPr="004829B5">
        <w:rPr>
          <w:b/>
          <w:sz w:val="24"/>
        </w:rPr>
        <w:t xml:space="preserve">– </w:t>
      </w:r>
      <w:r w:rsidR="00C674E8">
        <w:rPr>
          <w:b/>
          <w:sz w:val="24"/>
        </w:rPr>
        <w:t>Urban Crime and the Stop Snitching Campaign</w:t>
      </w:r>
    </w:p>
    <w:p w:rsidR="00FE6E9A" w:rsidRDefault="00FE6E9A" w:rsidP="00FE6E9A">
      <w:pPr>
        <w:rPr>
          <w:sz w:val="24"/>
        </w:rPr>
      </w:pPr>
    </w:p>
    <w:p w:rsidR="00FE6E9A" w:rsidRDefault="00FE6E9A" w:rsidP="00FE6E9A">
      <w:pPr>
        <w:rPr>
          <w:sz w:val="24"/>
        </w:rPr>
      </w:pPr>
      <w:r>
        <w:rPr>
          <w:sz w:val="24"/>
        </w:rPr>
        <w:t xml:space="preserve">Required readings – </w:t>
      </w:r>
    </w:p>
    <w:p w:rsidR="00680DE5" w:rsidRDefault="00680DE5" w:rsidP="00177054">
      <w:pPr>
        <w:rPr>
          <w:b/>
          <w:sz w:val="24"/>
        </w:rPr>
      </w:pPr>
    </w:p>
    <w:p w:rsidR="00FE6E9A" w:rsidRPr="00FE6E9A" w:rsidRDefault="00FE6E9A" w:rsidP="00FE6E9A">
      <w:pPr>
        <w:ind w:left="720"/>
        <w:rPr>
          <w:sz w:val="24"/>
        </w:rPr>
      </w:pPr>
      <w:r w:rsidRPr="00FE6E9A">
        <w:rPr>
          <w:sz w:val="24"/>
        </w:rPr>
        <w:t xml:space="preserve">Patrick </w:t>
      </w:r>
      <w:proofErr w:type="spellStart"/>
      <w:r w:rsidRPr="00FE6E9A">
        <w:rPr>
          <w:sz w:val="24"/>
        </w:rPr>
        <w:t>Carr</w:t>
      </w:r>
      <w:proofErr w:type="spellEnd"/>
      <w:r w:rsidRPr="00FE6E9A">
        <w:rPr>
          <w:sz w:val="24"/>
        </w:rPr>
        <w:t>, Laura Napolitano, and Jessica Keating. 2007. “We Never Call the Cops</w:t>
      </w:r>
    </w:p>
    <w:p w:rsidR="00FE6E9A" w:rsidRPr="00FE6E9A" w:rsidRDefault="00FE6E9A" w:rsidP="00FE6E9A">
      <w:pPr>
        <w:ind w:left="720"/>
        <w:rPr>
          <w:sz w:val="24"/>
        </w:rPr>
      </w:pPr>
      <w:r w:rsidRPr="00FE6E9A">
        <w:rPr>
          <w:sz w:val="24"/>
        </w:rPr>
        <w:t xml:space="preserve">And Here is Why: A Qualitative Examination of Legal Cynicism in Three Philadelphia Neighborhoods.” </w:t>
      </w:r>
      <w:r w:rsidRPr="00FE6E9A">
        <w:rPr>
          <w:i/>
          <w:sz w:val="24"/>
        </w:rPr>
        <w:t>Criminology</w:t>
      </w:r>
      <w:r>
        <w:rPr>
          <w:sz w:val="24"/>
        </w:rPr>
        <w:t>, 45</w:t>
      </w:r>
      <w:r w:rsidRPr="00FE6E9A">
        <w:rPr>
          <w:sz w:val="24"/>
        </w:rPr>
        <w:t>: 445 – 480.</w:t>
      </w:r>
    </w:p>
    <w:p w:rsidR="00FE6E9A" w:rsidRPr="00FE6E9A" w:rsidRDefault="00FE6E9A" w:rsidP="00FE6E9A">
      <w:pPr>
        <w:ind w:left="720"/>
        <w:rPr>
          <w:sz w:val="24"/>
        </w:rPr>
      </w:pPr>
    </w:p>
    <w:p w:rsidR="00FE6E9A" w:rsidRPr="00FE6E9A" w:rsidRDefault="00FE6E9A" w:rsidP="00FE6E9A">
      <w:pPr>
        <w:ind w:left="720"/>
        <w:rPr>
          <w:sz w:val="24"/>
        </w:rPr>
      </w:pPr>
      <w:r w:rsidRPr="00FE6E9A">
        <w:rPr>
          <w:sz w:val="24"/>
        </w:rPr>
        <w:t xml:space="preserve">Jeremy Kahn. 2007. “The Story of a Snitch.” </w:t>
      </w:r>
      <w:r w:rsidRPr="00FE6E9A">
        <w:rPr>
          <w:i/>
          <w:sz w:val="24"/>
        </w:rPr>
        <w:t>Atlantic Monthly</w:t>
      </w:r>
      <w:r>
        <w:rPr>
          <w:sz w:val="24"/>
        </w:rPr>
        <w:t>, April1.</w:t>
      </w:r>
    </w:p>
    <w:p w:rsidR="00FE6E9A" w:rsidRPr="00FE6E9A" w:rsidRDefault="00FE6E9A" w:rsidP="00FE6E9A">
      <w:pPr>
        <w:ind w:left="720"/>
        <w:rPr>
          <w:sz w:val="24"/>
        </w:rPr>
      </w:pPr>
    </w:p>
    <w:p w:rsidR="00FE6E9A" w:rsidRPr="00FE6E9A" w:rsidRDefault="00FE6E9A" w:rsidP="00FE6E9A">
      <w:pPr>
        <w:ind w:left="720"/>
        <w:rPr>
          <w:sz w:val="24"/>
        </w:rPr>
      </w:pPr>
      <w:r w:rsidRPr="00FE6E9A">
        <w:rPr>
          <w:sz w:val="24"/>
        </w:rPr>
        <w:t xml:space="preserve">Rachael A. </w:t>
      </w:r>
      <w:proofErr w:type="spellStart"/>
      <w:r w:rsidRPr="00FE6E9A">
        <w:rPr>
          <w:sz w:val="24"/>
        </w:rPr>
        <w:t>Woldoff</w:t>
      </w:r>
      <w:proofErr w:type="spellEnd"/>
      <w:r w:rsidR="00F65938">
        <w:rPr>
          <w:sz w:val="24"/>
        </w:rPr>
        <w:t xml:space="preserve"> and Karen G. Weiss</w:t>
      </w:r>
      <w:r w:rsidRPr="00FE6E9A">
        <w:rPr>
          <w:sz w:val="24"/>
        </w:rPr>
        <w:t xml:space="preserve">. 2010. “Stop </w:t>
      </w:r>
      <w:proofErr w:type="spellStart"/>
      <w:r w:rsidRPr="00FE6E9A">
        <w:rPr>
          <w:sz w:val="24"/>
        </w:rPr>
        <w:t>Snitchin</w:t>
      </w:r>
      <w:proofErr w:type="spellEnd"/>
      <w:r w:rsidRPr="00FE6E9A">
        <w:rPr>
          <w:sz w:val="24"/>
        </w:rPr>
        <w:t xml:space="preserve">’: Exploring Definitions of the Snitch and Implications for Urban Black Communities.” </w:t>
      </w:r>
      <w:r w:rsidRPr="00FE6E9A">
        <w:rPr>
          <w:i/>
          <w:sz w:val="24"/>
        </w:rPr>
        <w:t>Journal of Criminal Justice and Popular</w:t>
      </w:r>
      <w:r w:rsidRPr="00FE6E9A">
        <w:rPr>
          <w:sz w:val="24"/>
        </w:rPr>
        <w:t xml:space="preserve"> </w:t>
      </w:r>
      <w:r w:rsidRPr="00FE6E9A">
        <w:rPr>
          <w:i/>
          <w:sz w:val="24"/>
        </w:rPr>
        <w:t>Culture</w:t>
      </w:r>
      <w:r>
        <w:rPr>
          <w:sz w:val="24"/>
        </w:rPr>
        <w:t>, 17</w:t>
      </w:r>
      <w:r w:rsidRPr="00FE6E9A">
        <w:rPr>
          <w:sz w:val="24"/>
        </w:rPr>
        <w:t>: 184 – 223.</w:t>
      </w:r>
    </w:p>
    <w:p w:rsidR="00FE6E9A" w:rsidRPr="00FE6E9A" w:rsidRDefault="00FE6E9A" w:rsidP="00FE6E9A">
      <w:pPr>
        <w:ind w:left="720"/>
        <w:rPr>
          <w:sz w:val="24"/>
        </w:rPr>
      </w:pPr>
    </w:p>
    <w:p w:rsidR="00177054" w:rsidRPr="007E42E7" w:rsidRDefault="00891A40" w:rsidP="00177054">
      <w:pPr>
        <w:rPr>
          <w:b/>
          <w:sz w:val="24"/>
        </w:rPr>
      </w:pPr>
      <w:r>
        <w:rPr>
          <w:b/>
          <w:sz w:val="24"/>
        </w:rPr>
        <w:t>October</w:t>
      </w:r>
      <w:r w:rsidR="00BD42FA">
        <w:rPr>
          <w:b/>
          <w:sz w:val="24"/>
        </w:rPr>
        <w:t xml:space="preserve"> 1 </w:t>
      </w:r>
      <w:r w:rsidR="004E535A" w:rsidRPr="007E42E7">
        <w:rPr>
          <w:b/>
          <w:sz w:val="24"/>
        </w:rPr>
        <w:t xml:space="preserve">– </w:t>
      </w:r>
      <w:r w:rsidR="00C674E8">
        <w:rPr>
          <w:b/>
          <w:sz w:val="24"/>
        </w:rPr>
        <w:t>Community Policing</w:t>
      </w:r>
      <w:r w:rsidR="008037BD" w:rsidRPr="007E42E7">
        <w:rPr>
          <w:b/>
          <w:sz w:val="24"/>
        </w:rPr>
        <w:t xml:space="preserve"> </w:t>
      </w:r>
    </w:p>
    <w:p w:rsidR="008E03F7" w:rsidRDefault="008E03F7" w:rsidP="00177054">
      <w:pPr>
        <w:rPr>
          <w:sz w:val="24"/>
        </w:rPr>
      </w:pPr>
    </w:p>
    <w:p w:rsidR="007E42E7" w:rsidRDefault="007E42E7" w:rsidP="00177054">
      <w:pPr>
        <w:rPr>
          <w:sz w:val="24"/>
        </w:rPr>
      </w:pPr>
      <w:r>
        <w:rPr>
          <w:sz w:val="24"/>
        </w:rPr>
        <w:t xml:space="preserve">Required readings – </w:t>
      </w:r>
    </w:p>
    <w:p w:rsidR="00FE6E9A" w:rsidRDefault="00FE6E9A" w:rsidP="00FE6E9A">
      <w:pPr>
        <w:rPr>
          <w:sz w:val="24"/>
        </w:rPr>
      </w:pPr>
    </w:p>
    <w:p w:rsidR="00FE6E9A" w:rsidRPr="00FE6E9A" w:rsidRDefault="00FE6E9A" w:rsidP="00FE6E9A">
      <w:pPr>
        <w:ind w:left="720"/>
        <w:rPr>
          <w:sz w:val="24"/>
        </w:rPr>
      </w:pPr>
      <w:r w:rsidRPr="00FE6E9A">
        <w:rPr>
          <w:sz w:val="24"/>
        </w:rPr>
        <w:t xml:space="preserve">Chapter 3 – “The Failure of Past Policing Strategies.” In George </w:t>
      </w:r>
      <w:proofErr w:type="spellStart"/>
      <w:r w:rsidRPr="00FE6E9A">
        <w:rPr>
          <w:sz w:val="24"/>
        </w:rPr>
        <w:t>Kelling</w:t>
      </w:r>
      <w:proofErr w:type="spellEnd"/>
      <w:r w:rsidRPr="00FE6E9A">
        <w:rPr>
          <w:sz w:val="24"/>
        </w:rPr>
        <w:t xml:space="preserve"> and Catherine Coles. 1996. </w:t>
      </w:r>
      <w:r w:rsidRPr="00FE6E9A">
        <w:rPr>
          <w:i/>
          <w:sz w:val="24"/>
        </w:rPr>
        <w:t>Fixing Broken Windows: Restoring Order and Reducing Crime in Our Communities</w:t>
      </w:r>
      <w:r w:rsidRPr="00FE6E9A">
        <w:rPr>
          <w:sz w:val="24"/>
        </w:rPr>
        <w:t>. New York: The Free Press.</w:t>
      </w:r>
    </w:p>
    <w:p w:rsidR="00FE6E9A" w:rsidRPr="00FE6E9A" w:rsidRDefault="00FE6E9A" w:rsidP="00FE6E9A">
      <w:pPr>
        <w:ind w:left="720"/>
        <w:rPr>
          <w:sz w:val="24"/>
        </w:rPr>
      </w:pPr>
    </w:p>
    <w:p w:rsidR="00FE6E9A" w:rsidRPr="00FE6E9A" w:rsidRDefault="00FE6E9A" w:rsidP="00FE6E9A">
      <w:pPr>
        <w:ind w:left="720"/>
        <w:rPr>
          <w:sz w:val="24"/>
        </w:rPr>
      </w:pPr>
      <w:r w:rsidRPr="00FE6E9A">
        <w:rPr>
          <w:sz w:val="24"/>
        </w:rPr>
        <w:t xml:space="preserve">Wesley </w:t>
      </w:r>
      <w:proofErr w:type="spellStart"/>
      <w:r w:rsidRPr="00FE6E9A">
        <w:rPr>
          <w:sz w:val="24"/>
        </w:rPr>
        <w:t>Skogan</w:t>
      </w:r>
      <w:proofErr w:type="spellEnd"/>
      <w:r w:rsidRPr="00FE6E9A">
        <w:rPr>
          <w:sz w:val="24"/>
        </w:rPr>
        <w:t xml:space="preserve">. 2006. “The Promise of Community Policing.” In </w:t>
      </w:r>
      <w:r w:rsidRPr="00FE6E9A">
        <w:rPr>
          <w:i/>
          <w:sz w:val="24"/>
        </w:rPr>
        <w:t xml:space="preserve">Police Innovation: Contrasting Perspectives, </w:t>
      </w:r>
      <w:r w:rsidRPr="00FE6E9A">
        <w:rPr>
          <w:sz w:val="24"/>
        </w:rPr>
        <w:t xml:space="preserve">edited by David L. </w:t>
      </w:r>
      <w:proofErr w:type="spellStart"/>
      <w:r w:rsidRPr="00FE6E9A">
        <w:rPr>
          <w:sz w:val="24"/>
        </w:rPr>
        <w:t>Weisburd</w:t>
      </w:r>
      <w:proofErr w:type="spellEnd"/>
      <w:r w:rsidRPr="00FE6E9A">
        <w:rPr>
          <w:sz w:val="24"/>
        </w:rPr>
        <w:t xml:space="preserve"> and Anthony A. Braga. New York: Cambridge University Press.</w:t>
      </w:r>
    </w:p>
    <w:p w:rsidR="007E42E7" w:rsidRDefault="007E42E7" w:rsidP="00177054">
      <w:pPr>
        <w:rPr>
          <w:sz w:val="24"/>
        </w:rPr>
      </w:pPr>
    </w:p>
    <w:p w:rsidR="00FE6E9A" w:rsidRPr="00E94CB4" w:rsidRDefault="00FE6E9A" w:rsidP="00FE6E9A">
      <w:pPr>
        <w:ind w:left="720"/>
        <w:rPr>
          <w:sz w:val="24"/>
        </w:rPr>
      </w:pPr>
      <w:r>
        <w:rPr>
          <w:sz w:val="24"/>
        </w:rPr>
        <w:lastRenderedPageBreak/>
        <w:t xml:space="preserve">Tom Tyler. 2004. “Enhancing Police Legitimacy.” </w:t>
      </w:r>
      <w:r>
        <w:rPr>
          <w:i/>
          <w:sz w:val="24"/>
        </w:rPr>
        <w:t xml:space="preserve">Annals of the </w:t>
      </w:r>
      <w:smartTag w:uri="urn:schemas-microsoft-com:office:smarttags" w:element="place">
        <w:smartTag w:uri="urn:schemas-microsoft-com:office:smarttags" w:element="PlaceName">
          <w:r>
            <w:rPr>
              <w:i/>
              <w:sz w:val="24"/>
            </w:rPr>
            <w:t>American</w:t>
          </w:r>
        </w:smartTag>
        <w:r>
          <w:rPr>
            <w:i/>
            <w:sz w:val="24"/>
          </w:rPr>
          <w:t xml:space="preserve"> </w:t>
        </w:r>
        <w:smartTag w:uri="urn:schemas-microsoft-com:office:smarttags" w:element="PlaceType">
          <w:r>
            <w:rPr>
              <w:i/>
              <w:sz w:val="24"/>
            </w:rPr>
            <w:t>Academy</w:t>
          </w:r>
        </w:smartTag>
      </w:smartTag>
      <w:r>
        <w:rPr>
          <w:i/>
          <w:sz w:val="24"/>
        </w:rPr>
        <w:t xml:space="preserve"> of Political and Social Science</w:t>
      </w:r>
      <w:r>
        <w:rPr>
          <w:sz w:val="24"/>
        </w:rPr>
        <w:t>, 593: 84 – 99.</w:t>
      </w:r>
    </w:p>
    <w:p w:rsidR="006F5118" w:rsidRDefault="006F5118" w:rsidP="00177054">
      <w:pPr>
        <w:rPr>
          <w:sz w:val="24"/>
        </w:rPr>
      </w:pPr>
    </w:p>
    <w:p w:rsidR="00BD42FA" w:rsidRDefault="00BD42FA" w:rsidP="00BD42FA">
      <w:pPr>
        <w:rPr>
          <w:b/>
          <w:sz w:val="24"/>
        </w:rPr>
      </w:pPr>
    </w:p>
    <w:p w:rsidR="00BD42FA" w:rsidRPr="00A4667E" w:rsidRDefault="00BD42FA" w:rsidP="00BD42FA">
      <w:pPr>
        <w:rPr>
          <w:b/>
          <w:sz w:val="24"/>
        </w:rPr>
      </w:pPr>
      <w:r>
        <w:rPr>
          <w:b/>
          <w:sz w:val="24"/>
        </w:rPr>
        <w:t xml:space="preserve">October 6 </w:t>
      </w:r>
      <w:r w:rsidRPr="00A4667E">
        <w:rPr>
          <w:b/>
          <w:sz w:val="24"/>
        </w:rPr>
        <w:t xml:space="preserve">– </w:t>
      </w:r>
      <w:r>
        <w:rPr>
          <w:b/>
          <w:sz w:val="24"/>
        </w:rPr>
        <w:t>Police and Effective Crime Prevention</w:t>
      </w:r>
    </w:p>
    <w:p w:rsidR="00BD42FA" w:rsidRDefault="00BD42FA" w:rsidP="00BD42FA">
      <w:pPr>
        <w:rPr>
          <w:sz w:val="24"/>
        </w:rPr>
      </w:pPr>
    </w:p>
    <w:p w:rsidR="00BD42FA" w:rsidRDefault="00BD42FA" w:rsidP="00BD42FA">
      <w:pPr>
        <w:rPr>
          <w:sz w:val="24"/>
        </w:rPr>
      </w:pPr>
      <w:r>
        <w:rPr>
          <w:sz w:val="24"/>
        </w:rPr>
        <w:t xml:space="preserve">Required readings – </w:t>
      </w:r>
    </w:p>
    <w:p w:rsidR="00BD42FA" w:rsidRDefault="00BD42FA" w:rsidP="00BD42FA">
      <w:pPr>
        <w:ind w:left="720"/>
        <w:rPr>
          <w:sz w:val="24"/>
        </w:rPr>
      </w:pPr>
    </w:p>
    <w:p w:rsidR="00BD42FA" w:rsidRPr="00FE6E9A" w:rsidRDefault="00BD42FA" w:rsidP="00BD42FA">
      <w:pPr>
        <w:ind w:left="720"/>
        <w:rPr>
          <w:i/>
          <w:sz w:val="24"/>
        </w:rPr>
      </w:pPr>
      <w:r w:rsidRPr="00FE6E9A">
        <w:rPr>
          <w:sz w:val="24"/>
        </w:rPr>
        <w:t xml:space="preserve">Anthony A. Braga. </w:t>
      </w:r>
      <w:r>
        <w:rPr>
          <w:sz w:val="24"/>
        </w:rPr>
        <w:t>2014</w:t>
      </w:r>
      <w:r w:rsidRPr="00FE6E9A">
        <w:rPr>
          <w:sz w:val="24"/>
        </w:rPr>
        <w:t xml:space="preserve">. “Problem-Oriented Policing: Principles, Practice, and Crime Prevention Effects.” In </w:t>
      </w:r>
      <w:r w:rsidRPr="00FE6E9A">
        <w:rPr>
          <w:i/>
          <w:sz w:val="24"/>
        </w:rPr>
        <w:t>The Oxford Handbook of Police and Policing</w:t>
      </w:r>
      <w:r w:rsidRPr="00FE6E9A">
        <w:rPr>
          <w:sz w:val="24"/>
        </w:rPr>
        <w:t xml:space="preserve">, edited by Michael D. </w:t>
      </w:r>
      <w:proofErr w:type="spellStart"/>
      <w:r w:rsidRPr="00FE6E9A">
        <w:rPr>
          <w:sz w:val="24"/>
        </w:rPr>
        <w:t>Reisig</w:t>
      </w:r>
      <w:proofErr w:type="spellEnd"/>
      <w:r w:rsidRPr="00FE6E9A">
        <w:rPr>
          <w:sz w:val="24"/>
        </w:rPr>
        <w:t xml:space="preserve"> and Robert J. Kane. New York: Oxford University Press.</w:t>
      </w:r>
    </w:p>
    <w:p w:rsidR="00BD42FA" w:rsidRDefault="00BD42FA" w:rsidP="00BD42FA">
      <w:pPr>
        <w:rPr>
          <w:sz w:val="24"/>
        </w:rPr>
      </w:pPr>
    </w:p>
    <w:p w:rsidR="00BD42FA" w:rsidRPr="007E42E7" w:rsidRDefault="00BD42FA" w:rsidP="00BD42FA">
      <w:pPr>
        <w:ind w:left="720"/>
        <w:rPr>
          <w:sz w:val="24"/>
        </w:rPr>
      </w:pPr>
      <w:r>
        <w:rPr>
          <w:sz w:val="24"/>
        </w:rPr>
        <w:t xml:space="preserve">David </w:t>
      </w:r>
      <w:proofErr w:type="spellStart"/>
      <w:r>
        <w:rPr>
          <w:sz w:val="24"/>
        </w:rPr>
        <w:t>Weisburd</w:t>
      </w:r>
      <w:proofErr w:type="spellEnd"/>
      <w:r>
        <w:rPr>
          <w:sz w:val="24"/>
        </w:rPr>
        <w:t xml:space="preserve"> and John Eck. 2004. “What Can Police Do to Reduce Crime, Disorder, and Fear?” </w:t>
      </w:r>
      <w:r>
        <w:rPr>
          <w:i/>
          <w:sz w:val="24"/>
        </w:rPr>
        <w:t xml:space="preserve">Annals of the </w:t>
      </w:r>
      <w:smartTag w:uri="urn:schemas-microsoft-com:office:smarttags" w:element="place">
        <w:smartTag w:uri="urn:schemas-microsoft-com:office:smarttags" w:element="PlaceName">
          <w:r>
            <w:rPr>
              <w:i/>
              <w:sz w:val="24"/>
            </w:rPr>
            <w:t>American</w:t>
          </w:r>
        </w:smartTag>
        <w:r>
          <w:rPr>
            <w:i/>
            <w:sz w:val="24"/>
          </w:rPr>
          <w:t xml:space="preserve"> </w:t>
        </w:r>
        <w:smartTag w:uri="urn:schemas-microsoft-com:office:smarttags" w:element="PlaceType">
          <w:r>
            <w:rPr>
              <w:i/>
              <w:sz w:val="24"/>
            </w:rPr>
            <w:t>Academy</w:t>
          </w:r>
        </w:smartTag>
      </w:smartTag>
      <w:r>
        <w:rPr>
          <w:i/>
          <w:sz w:val="24"/>
        </w:rPr>
        <w:t xml:space="preserve"> of Political and Social Science</w:t>
      </w:r>
      <w:r>
        <w:rPr>
          <w:sz w:val="24"/>
        </w:rPr>
        <w:t>, 593: 42 – 65.</w:t>
      </w:r>
    </w:p>
    <w:p w:rsidR="00BD42FA" w:rsidRDefault="00BD42FA" w:rsidP="00BD42FA">
      <w:pPr>
        <w:ind w:left="720"/>
        <w:rPr>
          <w:sz w:val="24"/>
        </w:rPr>
      </w:pPr>
      <w:r>
        <w:rPr>
          <w:sz w:val="24"/>
        </w:rPr>
        <w:t xml:space="preserve">Anthony A. Braga. 2012. “High Crime Places, Times, and Offenders.” </w:t>
      </w:r>
      <w:r w:rsidRPr="0062102F">
        <w:rPr>
          <w:sz w:val="24"/>
        </w:rPr>
        <w:t xml:space="preserve">In </w:t>
      </w:r>
      <w:r w:rsidRPr="0062102F">
        <w:rPr>
          <w:i/>
          <w:sz w:val="24"/>
        </w:rPr>
        <w:t xml:space="preserve">The Oxford Handbook of Crime Prevention, </w:t>
      </w:r>
      <w:r w:rsidRPr="0062102F">
        <w:rPr>
          <w:sz w:val="24"/>
        </w:rPr>
        <w:t>edited by Brandon C. Welsh and David P. Farrington. New York: Oxford University Press.</w:t>
      </w:r>
    </w:p>
    <w:p w:rsidR="00FE6E9A" w:rsidRDefault="00FE6E9A" w:rsidP="00177054">
      <w:pPr>
        <w:rPr>
          <w:b/>
          <w:sz w:val="24"/>
        </w:rPr>
      </w:pPr>
    </w:p>
    <w:p w:rsidR="00BD42FA" w:rsidRDefault="00BD42FA" w:rsidP="00177054">
      <w:pPr>
        <w:rPr>
          <w:b/>
          <w:sz w:val="24"/>
        </w:rPr>
      </w:pPr>
    </w:p>
    <w:p w:rsidR="008E03F7" w:rsidRPr="00C674E8" w:rsidRDefault="000F0FA7" w:rsidP="00177054">
      <w:pPr>
        <w:rPr>
          <w:sz w:val="24"/>
        </w:rPr>
      </w:pPr>
      <w:r>
        <w:rPr>
          <w:b/>
          <w:sz w:val="24"/>
        </w:rPr>
        <w:t xml:space="preserve">October </w:t>
      </w:r>
      <w:r w:rsidR="00891A40">
        <w:rPr>
          <w:b/>
          <w:sz w:val="24"/>
        </w:rPr>
        <w:t>8</w:t>
      </w:r>
      <w:r w:rsidR="004E535A" w:rsidRPr="00FE3B42">
        <w:rPr>
          <w:b/>
          <w:sz w:val="24"/>
        </w:rPr>
        <w:t xml:space="preserve"> –</w:t>
      </w:r>
      <w:r w:rsidR="00A3451C" w:rsidRPr="00FE3B42">
        <w:rPr>
          <w:b/>
          <w:sz w:val="24"/>
        </w:rPr>
        <w:t xml:space="preserve"> </w:t>
      </w:r>
      <w:r w:rsidR="00C674E8">
        <w:rPr>
          <w:b/>
          <w:sz w:val="24"/>
        </w:rPr>
        <w:t xml:space="preserve">Guest speaker </w:t>
      </w:r>
      <w:r w:rsidR="00C674E8">
        <w:rPr>
          <w:sz w:val="24"/>
        </w:rPr>
        <w:t>– Superintendent-in-Chief William Gross, Boston Police Department</w:t>
      </w:r>
    </w:p>
    <w:p w:rsidR="00FE3B42" w:rsidRDefault="00FE3B42" w:rsidP="00103BC5">
      <w:pPr>
        <w:rPr>
          <w:sz w:val="24"/>
        </w:rPr>
      </w:pPr>
    </w:p>
    <w:p w:rsidR="0043765F" w:rsidRDefault="0043765F" w:rsidP="00103BC5">
      <w:pPr>
        <w:rPr>
          <w:sz w:val="24"/>
        </w:rPr>
      </w:pPr>
    </w:p>
    <w:p w:rsidR="00891A40" w:rsidRPr="00FE6E9A" w:rsidRDefault="00891A40" w:rsidP="00891A40">
      <w:pPr>
        <w:rPr>
          <w:b/>
          <w:sz w:val="24"/>
        </w:rPr>
      </w:pPr>
      <w:r>
        <w:rPr>
          <w:b/>
          <w:sz w:val="24"/>
        </w:rPr>
        <w:t>October 13</w:t>
      </w:r>
      <w:r w:rsidRPr="00A4667E">
        <w:rPr>
          <w:b/>
          <w:sz w:val="24"/>
        </w:rPr>
        <w:t xml:space="preserve"> – </w:t>
      </w:r>
      <w:r>
        <w:rPr>
          <w:b/>
          <w:sz w:val="24"/>
        </w:rPr>
        <w:t>CLASS CANCELLED</w:t>
      </w:r>
      <w:r w:rsidR="00FE6E9A">
        <w:rPr>
          <w:b/>
          <w:sz w:val="24"/>
        </w:rPr>
        <w:t xml:space="preserve"> – </w:t>
      </w:r>
      <w:r>
        <w:rPr>
          <w:sz w:val="24"/>
        </w:rPr>
        <w:t>Columbus Day</w:t>
      </w:r>
    </w:p>
    <w:p w:rsidR="00221A16" w:rsidRDefault="00221A16" w:rsidP="00891A40">
      <w:pPr>
        <w:rPr>
          <w:sz w:val="24"/>
        </w:rPr>
      </w:pPr>
    </w:p>
    <w:p w:rsidR="00891A40" w:rsidRDefault="00891A40" w:rsidP="00891A40">
      <w:pPr>
        <w:rPr>
          <w:sz w:val="24"/>
        </w:rPr>
      </w:pPr>
    </w:p>
    <w:p w:rsidR="00BD42FA" w:rsidRPr="000D25C7" w:rsidRDefault="00BA0887" w:rsidP="00BD42FA">
      <w:pPr>
        <w:rPr>
          <w:b/>
          <w:sz w:val="24"/>
        </w:rPr>
      </w:pPr>
      <w:r>
        <w:rPr>
          <w:b/>
          <w:sz w:val="24"/>
        </w:rPr>
        <w:t xml:space="preserve">October </w:t>
      </w:r>
      <w:r w:rsidR="00891A40">
        <w:rPr>
          <w:b/>
          <w:sz w:val="24"/>
        </w:rPr>
        <w:t>15</w:t>
      </w:r>
      <w:r w:rsidR="004E535A" w:rsidRPr="00A4667E">
        <w:rPr>
          <w:b/>
          <w:sz w:val="24"/>
        </w:rPr>
        <w:t xml:space="preserve"> </w:t>
      </w:r>
      <w:r w:rsidR="00BD42FA" w:rsidRPr="000D25C7">
        <w:rPr>
          <w:b/>
          <w:sz w:val="24"/>
        </w:rPr>
        <w:t xml:space="preserve">– </w:t>
      </w:r>
      <w:r w:rsidR="00BD42FA">
        <w:rPr>
          <w:b/>
          <w:sz w:val="24"/>
        </w:rPr>
        <w:t>Police Corruption and Lawful Policing</w:t>
      </w:r>
    </w:p>
    <w:p w:rsidR="00BD42FA" w:rsidRDefault="00BD42FA" w:rsidP="00BD42FA">
      <w:pPr>
        <w:rPr>
          <w:sz w:val="24"/>
        </w:rPr>
      </w:pPr>
    </w:p>
    <w:p w:rsidR="00BD42FA" w:rsidRDefault="00BD42FA" w:rsidP="00BD42FA">
      <w:pPr>
        <w:rPr>
          <w:sz w:val="24"/>
        </w:rPr>
      </w:pPr>
      <w:r>
        <w:rPr>
          <w:sz w:val="24"/>
        </w:rPr>
        <w:t>Required readings –</w:t>
      </w:r>
    </w:p>
    <w:p w:rsidR="00BD42FA" w:rsidRDefault="00BD42FA" w:rsidP="00BD42FA">
      <w:pPr>
        <w:ind w:left="720"/>
        <w:rPr>
          <w:sz w:val="24"/>
        </w:rPr>
      </w:pPr>
    </w:p>
    <w:p w:rsidR="00BD42FA" w:rsidRPr="007E42E7" w:rsidRDefault="00BD42FA" w:rsidP="00BD42FA">
      <w:pPr>
        <w:ind w:left="720"/>
        <w:rPr>
          <w:sz w:val="24"/>
        </w:rPr>
      </w:pPr>
      <w:r>
        <w:rPr>
          <w:sz w:val="24"/>
        </w:rPr>
        <w:t xml:space="preserve">Wesley </w:t>
      </w:r>
      <w:proofErr w:type="spellStart"/>
      <w:r>
        <w:rPr>
          <w:sz w:val="24"/>
        </w:rPr>
        <w:t>Skogan</w:t>
      </w:r>
      <w:proofErr w:type="spellEnd"/>
      <w:r>
        <w:rPr>
          <w:sz w:val="24"/>
        </w:rPr>
        <w:t xml:space="preserve"> and Tracey </w:t>
      </w:r>
      <w:proofErr w:type="spellStart"/>
      <w:r>
        <w:rPr>
          <w:sz w:val="24"/>
        </w:rPr>
        <w:t>Meares</w:t>
      </w:r>
      <w:proofErr w:type="spellEnd"/>
      <w:r>
        <w:rPr>
          <w:sz w:val="24"/>
        </w:rPr>
        <w:t xml:space="preserve">. 2004. “Lawful Policing.” </w:t>
      </w:r>
      <w:r>
        <w:rPr>
          <w:i/>
          <w:sz w:val="24"/>
        </w:rPr>
        <w:t xml:space="preserve">Annals of the </w:t>
      </w:r>
      <w:smartTag w:uri="urn:schemas-microsoft-com:office:smarttags" w:element="place">
        <w:smartTag w:uri="urn:schemas-microsoft-com:office:smarttags" w:element="PlaceName">
          <w:r>
            <w:rPr>
              <w:i/>
              <w:sz w:val="24"/>
            </w:rPr>
            <w:t>American</w:t>
          </w:r>
        </w:smartTag>
        <w:r>
          <w:rPr>
            <w:i/>
            <w:sz w:val="24"/>
          </w:rPr>
          <w:t xml:space="preserve"> </w:t>
        </w:r>
        <w:smartTag w:uri="urn:schemas-microsoft-com:office:smarttags" w:element="PlaceType">
          <w:r>
            <w:rPr>
              <w:i/>
              <w:sz w:val="24"/>
            </w:rPr>
            <w:t>Academy</w:t>
          </w:r>
        </w:smartTag>
      </w:smartTag>
      <w:r>
        <w:rPr>
          <w:i/>
          <w:sz w:val="24"/>
        </w:rPr>
        <w:t xml:space="preserve"> of Political and Social Science</w:t>
      </w:r>
      <w:r>
        <w:rPr>
          <w:sz w:val="24"/>
        </w:rPr>
        <w:t>, 593: 66 – 83.</w:t>
      </w:r>
    </w:p>
    <w:p w:rsidR="00BD42FA" w:rsidRDefault="00BD42FA" w:rsidP="00BD42FA">
      <w:pPr>
        <w:rPr>
          <w:sz w:val="24"/>
        </w:rPr>
      </w:pPr>
    </w:p>
    <w:p w:rsidR="00BD42FA" w:rsidRDefault="00BD42FA" w:rsidP="00BD42FA">
      <w:pPr>
        <w:rPr>
          <w:sz w:val="24"/>
        </w:rPr>
      </w:pPr>
      <w:r>
        <w:rPr>
          <w:sz w:val="24"/>
        </w:rPr>
        <w:tab/>
        <w:t xml:space="preserve">Chapter 4 – “The Troubled Boston PD.” In Dick Lehr. 2009. </w:t>
      </w:r>
      <w:r w:rsidRPr="003D1BEE">
        <w:rPr>
          <w:i/>
          <w:sz w:val="24"/>
        </w:rPr>
        <w:t>The Fence: A Police Cover-</w:t>
      </w:r>
      <w:r w:rsidRPr="003D1BEE">
        <w:rPr>
          <w:i/>
          <w:sz w:val="24"/>
        </w:rPr>
        <w:tab/>
        <w:t>Up Along Boston’s Racial Divide.</w:t>
      </w:r>
      <w:r>
        <w:rPr>
          <w:sz w:val="24"/>
        </w:rPr>
        <w:t xml:space="preserve"> New York: Harper.</w:t>
      </w:r>
    </w:p>
    <w:p w:rsidR="00BD42FA" w:rsidRDefault="00BD42FA" w:rsidP="00BD42FA">
      <w:pPr>
        <w:rPr>
          <w:sz w:val="24"/>
        </w:rPr>
      </w:pPr>
    </w:p>
    <w:p w:rsidR="00BD42FA" w:rsidRPr="00762E62" w:rsidRDefault="00BD42FA" w:rsidP="00BD42FA">
      <w:pPr>
        <w:rPr>
          <w:sz w:val="24"/>
        </w:rPr>
      </w:pPr>
      <w:r>
        <w:rPr>
          <w:sz w:val="24"/>
        </w:rPr>
        <w:tab/>
        <w:t xml:space="preserve">“Patterns of Police Corruption” – Pages 61 – 69 from </w:t>
      </w:r>
      <w:r>
        <w:rPr>
          <w:i/>
          <w:sz w:val="24"/>
        </w:rPr>
        <w:t>The Knapp Commission Report</w:t>
      </w:r>
      <w:r>
        <w:rPr>
          <w:sz w:val="24"/>
        </w:rPr>
        <w:t>.</w:t>
      </w:r>
    </w:p>
    <w:p w:rsidR="00BD42FA" w:rsidRDefault="00BD42FA" w:rsidP="00BD42FA">
      <w:pPr>
        <w:rPr>
          <w:sz w:val="24"/>
        </w:rPr>
      </w:pPr>
    </w:p>
    <w:p w:rsidR="00BD42FA" w:rsidRDefault="00BD42FA" w:rsidP="00BD42FA">
      <w:pPr>
        <w:ind w:left="720"/>
        <w:rPr>
          <w:sz w:val="24"/>
        </w:rPr>
      </w:pPr>
      <w:proofErr w:type="spellStart"/>
      <w:r>
        <w:rPr>
          <w:sz w:val="24"/>
        </w:rPr>
        <w:t>Sanja</w:t>
      </w:r>
      <w:proofErr w:type="spellEnd"/>
      <w:r>
        <w:rPr>
          <w:sz w:val="24"/>
        </w:rPr>
        <w:t xml:space="preserve"> </w:t>
      </w:r>
      <w:proofErr w:type="spellStart"/>
      <w:r>
        <w:rPr>
          <w:sz w:val="24"/>
        </w:rPr>
        <w:t>Kutnjak</w:t>
      </w:r>
      <w:proofErr w:type="spellEnd"/>
      <w:r>
        <w:rPr>
          <w:sz w:val="24"/>
        </w:rPr>
        <w:t xml:space="preserve"> </w:t>
      </w:r>
      <w:proofErr w:type="spellStart"/>
      <w:r>
        <w:rPr>
          <w:sz w:val="24"/>
        </w:rPr>
        <w:t>Ivkovic</w:t>
      </w:r>
      <w:proofErr w:type="spellEnd"/>
      <w:r>
        <w:rPr>
          <w:sz w:val="24"/>
        </w:rPr>
        <w:t xml:space="preserve">. 2014. “Police Misconduct.” </w:t>
      </w:r>
      <w:r w:rsidRPr="00FE6E9A">
        <w:rPr>
          <w:sz w:val="24"/>
        </w:rPr>
        <w:t xml:space="preserve">In </w:t>
      </w:r>
      <w:r w:rsidRPr="00FE6E9A">
        <w:rPr>
          <w:i/>
          <w:sz w:val="24"/>
        </w:rPr>
        <w:t>The Oxford Handbook of Police and Policing</w:t>
      </w:r>
      <w:r w:rsidRPr="00FE6E9A">
        <w:rPr>
          <w:sz w:val="24"/>
        </w:rPr>
        <w:t xml:space="preserve">, edited by Michael D. </w:t>
      </w:r>
      <w:proofErr w:type="spellStart"/>
      <w:r w:rsidRPr="00FE6E9A">
        <w:rPr>
          <w:sz w:val="24"/>
        </w:rPr>
        <w:t>Reisig</w:t>
      </w:r>
      <w:proofErr w:type="spellEnd"/>
      <w:r w:rsidRPr="00FE6E9A">
        <w:rPr>
          <w:sz w:val="24"/>
        </w:rPr>
        <w:t xml:space="preserve"> and Robert J. Kane. New York: Oxford University Press.</w:t>
      </w:r>
    </w:p>
    <w:p w:rsidR="00FE6E9A" w:rsidRDefault="00FE6E9A" w:rsidP="00BD42FA">
      <w:pPr>
        <w:rPr>
          <w:sz w:val="24"/>
        </w:rPr>
      </w:pPr>
    </w:p>
    <w:p w:rsidR="00FE6E9A" w:rsidRDefault="00FE6E9A" w:rsidP="008E610D">
      <w:pPr>
        <w:rPr>
          <w:sz w:val="24"/>
        </w:rPr>
      </w:pPr>
    </w:p>
    <w:p w:rsidR="00103BC5" w:rsidRDefault="00103BC5" w:rsidP="0000368A">
      <w:pPr>
        <w:rPr>
          <w:b/>
          <w:sz w:val="24"/>
        </w:rPr>
      </w:pPr>
    </w:p>
    <w:p w:rsidR="00BD42FA" w:rsidRDefault="00BD42FA" w:rsidP="0000368A">
      <w:pPr>
        <w:rPr>
          <w:b/>
          <w:sz w:val="24"/>
        </w:rPr>
      </w:pPr>
    </w:p>
    <w:p w:rsidR="0000368A" w:rsidRDefault="0000368A" w:rsidP="0000368A">
      <w:pPr>
        <w:rPr>
          <w:b/>
          <w:sz w:val="24"/>
        </w:rPr>
      </w:pPr>
      <w:r>
        <w:rPr>
          <w:b/>
          <w:sz w:val="24"/>
        </w:rPr>
        <w:lastRenderedPageBreak/>
        <w:t>October 20</w:t>
      </w:r>
      <w:r w:rsidRPr="004829B5">
        <w:rPr>
          <w:b/>
          <w:sz w:val="24"/>
        </w:rPr>
        <w:t xml:space="preserve"> – Guest speaker</w:t>
      </w:r>
      <w:r>
        <w:rPr>
          <w:sz w:val="24"/>
        </w:rPr>
        <w:t xml:space="preserve"> – Commissioner Edward Davis (retired), Boston Police Department</w:t>
      </w:r>
    </w:p>
    <w:p w:rsidR="0000368A" w:rsidRDefault="0000368A" w:rsidP="0000368A">
      <w:pPr>
        <w:rPr>
          <w:sz w:val="24"/>
        </w:rPr>
      </w:pPr>
    </w:p>
    <w:p w:rsidR="0000368A" w:rsidRDefault="0000368A" w:rsidP="0000368A">
      <w:pPr>
        <w:rPr>
          <w:sz w:val="24"/>
        </w:rPr>
      </w:pPr>
      <w:r>
        <w:rPr>
          <w:sz w:val="24"/>
        </w:rPr>
        <w:t xml:space="preserve">Required readings – </w:t>
      </w:r>
    </w:p>
    <w:p w:rsidR="0000368A" w:rsidRDefault="0000368A" w:rsidP="0000368A">
      <w:pPr>
        <w:rPr>
          <w:b/>
          <w:sz w:val="24"/>
        </w:rPr>
      </w:pPr>
    </w:p>
    <w:p w:rsidR="0000368A" w:rsidRPr="003F5210" w:rsidRDefault="0000368A" w:rsidP="0000368A">
      <w:pPr>
        <w:ind w:left="720"/>
        <w:rPr>
          <w:sz w:val="24"/>
        </w:rPr>
      </w:pPr>
      <w:r>
        <w:rPr>
          <w:sz w:val="24"/>
        </w:rPr>
        <w:t xml:space="preserve">Edward F. Davis, Alejandro Alves, and David Alan </w:t>
      </w:r>
      <w:proofErr w:type="spellStart"/>
      <w:r>
        <w:rPr>
          <w:sz w:val="24"/>
        </w:rPr>
        <w:t>Sklansky</w:t>
      </w:r>
      <w:proofErr w:type="spellEnd"/>
      <w:r>
        <w:rPr>
          <w:sz w:val="24"/>
        </w:rPr>
        <w:t xml:space="preserve">. 2014. </w:t>
      </w:r>
      <w:r w:rsidRPr="003F5210">
        <w:rPr>
          <w:i/>
          <w:sz w:val="24"/>
        </w:rPr>
        <w:t>Social Media and Police Leadership.</w:t>
      </w:r>
      <w:r>
        <w:rPr>
          <w:sz w:val="24"/>
        </w:rPr>
        <w:t xml:space="preserve"> New Perspectives in Policing, 13. Washington, DC: US National Institute of Justice.</w:t>
      </w:r>
    </w:p>
    <w:p w:rsidR="0000368A" w:rsidRDefault="0000368A" w:rsidP="0000368A">
      <w:pPr>
        <w:rPr>
          <w:b/>
          <w:sz w:val="24"/>
        </w:rPr>
      </w:pPr>
    </w:p>
    <w:p w:rsidR="0000368A" w:rsidRPr="00CC33F1" w:rsidRDefault="0000368A" w:rsidP="0000368A">
      <w:pPr>
        <w:ind w:left="720"/>
        <w:rPr>
          <w:sz w:val="24"/>
        </w:rPr>
      </w:pPr>
      <w:r>
        <w:rPr>
          <w:sz w:val="24"/>
        </w:rPr>
        <w:t xml:space="preserve">Herman Leonard, Christine Cole, Arnold Howitt, and Philip </w:t>
      </w:r>
      <w:proofErr w:type="spellStart"/>
      <w:r>
        <w:rPr>
          <w:sz w:val="24"/>
        </w:rPr>
        <w:t>Heymann</w:t>
      </w:r>
      <w:proofErr w:type="spellEnd"/>
      <w:r>
        <w:rPr>
          <w:sz w:val="24"/>
        </w:rPr>
        <w:t xml:space="preserve">. 2014. </w:t>
      </w:r>
      <w:r w:rsidRPr="003F5210">
        <w:rPr>
          <w:i/>
          <w:sz w:val="24"/>
        </w:rPr>
        <w:t xml:space="preserve">Why Was Boston Strong? Lessons from the </w:t>
      </w:r>
      <w:r>
        <w:rPr>
          <w:i/>
          <w:sz w:val="24"/>
        </w:rPr>
        <w:t xml:space="preserve">Boston </w:t>
      </w:r>
      <w:r w:rsidRPr="003F5210">
        <w:rPr>
          <w:i/>
          <w:sz w:val="24"/>
        </w:rPr>
        <w:t>Marathon Bombing.</w:t>
      </w:r>
      <w:r>
        <w:rPr>
          <w:sz w:val="24"/>
        </w:rPr>
        <w:t xml:space="preserve"> Cambridge, MA: Kennedy School of Government, Harvard University.</w:t>
      </w:r>
    </w:p>
    <w:p w:rsidR="00103BC5" w:rsidRDefault="00103BC5" w:rsidP="0000368A">
      <w:pPr>
        <w:rPr>
          <w:b/>
          <w:sz w:val="24"/>
        </w:rPr>
      </w:pPr>
    </w:p>
    <w:p w:rsidR="00103BC5" w:rsidRDefault="00103BC5" w:rsidP="0000368A">
      <w:pPr>
        <w:rPr>
          <w:b/>
          <w:sz w:val="24"/>
        </w:rPr>
      </w:pPr>
    </w:p>
    <w:p w:rsidR="0000368A" w:rsidRDefault="0000368A" w:rsidP="00BD42FA">
      <w:pPr>
        <w:rPr>
          <w:sz w:val="24"/>
        </w:rPr>
      </w:pPr>
      <w:r>
        <w:rPr>
          <w:b/>
          <w:sz w:val="24"/>
        </w:rPr>
        <w:t>October 22</w:t>
      </w:r>
      <w:r w:rsidRPr="000D25C7">
        <w:rPr>
          <w:b/>
          <w:sz w:val="24"/>
        </w:rPr>
        <w:t xml:space="preserve"> – </w:t>
      </w:r>
      <w:r w:rsidR="00BD42FA">
        <w:rPr>
          <w:b/>
          <w:sz w:val="24"/>
        </w:rPr>
        <w:t>REVIEW FOR MIDCOURSE EXAM</w:t>
      </w:r>
    </w:p>
    <w:p w:rsidR="00103BC5" w:rsidRDefault="00103BC5" w:rsidP="00103BC5">
      <w:pPr>
        <w:rPr>
          <w:b/>
          <w:sz w:val="24"/>
        </w:rPr>
      </w:pPr>
    </w:p>
    <w:p w:rsidR="00103BC5" w:rsidRDefault="00103BC5" w:rsidP="00103BC5">
      <w:pPr>
        <w:rPr>
          <w:b/>
          <w:sz w:val="24"/>
        </w:rPr>
      </w:pPr>
    </w:p>
    <w:p w:rsidR="00103BC5" w:rsidRDefault="00103BC5" w:rsidP="00103BC5">
      <w:pPr>
        <w:rPr>
          <w:b/>
          <w:sz w:val="24"/>
        </w:rPr>
      </w:pPr>
      <w:r>
        <w:rPr>
          <w:b/>
          <w:sz w:val="24"/>
        </w:rPr>
        <w:t>October 27 – MIDCOURSE EXAM</w:t>
      </w:r>
    </w:p>
    <w:p w:rsidR="00103BC5" w:rsidRDefault="00103BC5" w:rsidP="00103BC5">
      <w:pPr>
        <w:rPr>
          <w:b/>
          <w:sz w:val="24"/>
        </w:rPr>
      </w:pPr>
    </w:p>
    <w:p w:rsidR="00BD42FA" w:rsidRDefault="00BD42FA" w:rsidP="00103BC5">
      <w:pPr>
        <w:rPr>
          <w:b/>
          <w:sz w:val="24"/>
        </w:rPr>
      </w:pPr>
    </w:p>
    <w:p w:rsidR="008E03F7" w:rsidRPr="00DC7D6D" w:rsidRDefault="00360D30" w:rsidP="00177054">
      <w:pPr>
        <w:rPr>
          <w:b/>
          <w:sz w:val="24"/>
        </w:rPr>
      </w:pPr>
      <w:r>
        <w:rPr>
          <w:b/>
          <w:sz w:val="24"/>
        </w:rPr>
        <w:t>Octo</w:t>
      </w:r>
      <w:r w:rsidR="0006009A">
        <w:rPr>
          <w:b/>
          <w:sz w:val="24"/>
        </w:rPr>
        <w:t xml:space="preserve">ber </w:t>
      </w:r>
      <w:r w:rsidR="00032362">
        <w:rPr>
          <w:b/>
          <w:sz w:val="24"/>
        </w:rPr>
        <w:t>2</w:t>
      </w:r>
      <w:r w:rsidR="0000368A">
        <w:rPr>
          <w:b/>
          <w:sz w:val="24"/>
        </w:rPr>
        <w:t>9</w:t>
      </w:r>
      <w:r w:rsidR="008037BD" w:rsidRPr="00DC7D6D">
        <w:rPr>
          <w:b/>
          <w:sz w:val="24"/>
        </w:rPr>
        <w:t xml:space="preserve"> – </w:t>
      </w:r>
      <w:r w:rsidR="00C674E8">
        <w:rPr>
          <w:b/>
          <w:sz w:val="24"/>
        </w:rPr>
        <w:t>Community Prosecution</w:t>
      </w:r>
    </w:p>
    <w:p w:rsidR="008A0E98" w:rsidRDefault="008A0E98" w:rsidP="008A0E98">
      <w:pPr>
        <w:rPr>
          <w:b/>
          <w:sz w:val="24"/>
        </w:rPr>
      </w:pPr>
    </w:p>
    <w:p w:rsidR="00906713" w:rsidRDefault="00906713" w:rsidP="00906713">
      <w:pPr>
        <w:rPr>
          <w:sz w:val="24"/>
        </w:rPr>
      </w:pPr>
      <w:r>
        <w:rPr>
          <w:sz w:val="24"/>
        </w:rPr>
        <w:t xml:space="preserve">Required readings – </w:t>
      </w:r>
    </w:p>
    <w:p w:rsidR="005F54B3" w:rsidRDefault="005F54B3" w:rsidP="005F54B3">
      <w:pPr>
        <w:ind w:left="720"/>
        <w:rPr>
          <w:sz w:val="24"/>
        </w:rPr>
      </w:pPr>
    </w:p>
    <w:p w:rsidR="005F54B3" w:rsidRDefault="005F54B3" w:rsidP="005F54B3">
      <w:pPr>
        <w:ind w:left="720"/>
        <w:rPr>
          <w:sz w:val="24"/>
        </w:rPr>
      </w:pPr>
      <w:r>
        <w:rPr>
          <w:sz w:val="24"/>
        </w:rPr>
        <w:t xml:space="preserve">Brian </w:t>
      </w:r>
      <w:proofErr w:type="spellStart"/>
      <w:r>
        <w:rPr>
          <w:sz w:val="24"/>
        </w:rPr>
        <w:t>Forst</w:t>
      </w:r>
      <w:proofErr w:type="spellEnd"/>
      <w:r>
        <w:rPr>
          <w:sz w:val="24"/>
        </w:rPr>
        <w:t xml:space="preserve">. 2011. “Prosecution.” In </w:t>
      </w:r>
      <w:r w:rsidRPr="004829B5">
        <w:rPr>
          <w:i/>
          <w:sz w:val="24"/>
        </w:rPr>
        <w:t>Crime</w:t>
      </w:r>
      <w:r>
        <w:rPr>
          <w:i/>
          <w:sz w:val="24"/>
        </w:rPr>
        <w:t xml:space="preserve"> and Public Policy</w:t>
      </w:r>
      <w:r>
        <w:rPr>
          <w:sz w:val="24"/>
        </w:rPr>
        <w:t xml:space="preserve">, edited by James Q. Wilson and Joan </w:t>
      </w:r>
      <w:proofErr w:type="spellStart"/>
      <w:r>
        <w:rPr>
          <w:sz w:val="24"/>
        </w:rPr>
        <w:t>Petersilia</w:t>
      </w:r>
      <w:proofErr w:type="spellEnd"/>
      <w:r>
        <w:rPr>
          <w:sz w:val="24"/>
        </w:rPr>
        <w:t xml:space="preserve">.  </w:t>
      </w:r>
      <w:r w:rsidRPr="00FE6E9A">
        <w:rPr>
          <w:sz w:val="24"/>
        </w:rPr>
        <w:t>New York: Oxford University Press.</w:t>
      </w:r>
    </w:p>
    <w:p w:rsidR="005F54B3" w:rsidRDefault="005F54B3" w:rsidP="005F54B3">
      <w:pPr>
        <w:rPr>
          <w:sz w:val="24"/>
        </w:rPr>
      </w:pPr>
    </w:p>
    <w:p w:rsidR="005F54B3" w:rsidRPr="00F62AAB" w:rsidRDefault="005F54B3" w:rsidP="005F54B3">
      <w:pPr>
        <w:ind w:left="720"/>
        <w:rPr>
          <w:sz w:val="24"/>
        </w:rPr>
      </w:pPr>
      <w:r>
        <w:rPr>
          <w:sz w:val="24"/>
        </w:rPr>
        <w:t xml:space="preserve">Barbara Boland. 1996. “What is Community Prosecution?” </w:t>
      </w:r>
      <w:r>
        <w:rPr>
          <w:i/>
          <w:sz w:val="24"/>
        </w:rPr>
        <w:t xml:space="preserve">National </w:t>
      </w:r>
      <w:smartTag w:uri="urn:schemas-microsoft-com:office:smarttags" w:element="place">
        <w:smartTag w:uri="urn:schemas-microsoft-com:office:smarttags" w:element="PlaceType">
          <w:r>
            <w:rPr>
              <w:i/>
              <w:sz w:val="24"/>
            </w:rPr>
            <w:t>Institute</w:t>
          </w:r>
        </w:smartTag>
        <w:r>
          <w:rPr>
            <w:i/>
            <w:sz w:val="24"/>
          </w:rPr>
          <w:t xml:space="preserve"> of </w:t>
        </w:r>
        <w:smartTag w:uri="urn:schemas-microsoft-com:office:smarttags" w:element="PlaceName">
          <w:r>
            <w:rPr>
              <w:i/>
              <w:sz w:val="24"/>
            </w:rPr>
            <w:t>Justice Journal</w:t>
          </w:r>
        </w:smartTag>
      </w:smartTag>
      <w:r>
        <w:rPr>
          <w:sz w:val="24"/>
        </w:rPr>
        <w:t>, 231: 35 – 40.</w:t>
      </w:r>
    </w:p>
    <w:p w:rsidR="005F54B3" w:rsidRDefault="005F54B3" w:rsidP="005F54B3">
      <w:pPr>
        <w:rPr>
          <w:b/>
          <w:sz w:val="24"/>
        </w:rPr>
      </w:pPr>
    </w:p>
    <w:p w:rsidR="005F54B3" w:rsidRPr="000D5527" w:rsidRDefault="005F54B3" w:rsidP="005F54B3">
      <w:pPr>
        <w:rPr>
          <w:sz w:val="24"/>
        </w:rPr>
      </w:pPr>
      <w:r>
        <w:rPr>
          <w:b/>
          <w:sz w:val="24"/>
        </w:rPr>
        <w:tab/>
      </w:r>
      <w:r>
        <w:rPr>
          <w:sz w:val="24"/>
        </w:rPr>
        <w:t xml:space="preserve">William J. </w:t>
      </w:r>
      <w:proofErr w:type="spellStart"/>
      <w:r>
        <w:rPr>
          <w:sz w:val="24"/>
        </w:rPr>
        <w:t>Stuntz</w:t>
      </w:r>
      <w:proofErr w:type="spellEnd"/>
      <w:r>
        <w:rPr>
          <w:sz w:val="24"/>
        </w:rPr>
        <w:t xml:space="preserve">. 2008. “Unequal Justice.” </w:t>
      </w:r>
      <w:r w:rsidRPr="00FB01F1">
        <w:rPr>
          <w:i/>
          <w:sz w:val="24"/>
        </w:rPr>
        <w:t>Harvard Law Review</w:t>
      </w:r>
      <w:r>
        <w:rPr>
          <w:sz w:val="24"/>
        </w:rPr>
        <w:t xml:space="preserve">, 121: 1949 – 2040 </w:t>
      </w:r>
      <w:r>
        <w:rPr>
          <w:sz w:val="24"/>
        </w:rPr>
        <w:tab/>
        <w:t>(Please read 2019 – 2040).</w:t>
      </w:r>
    </w:p>
    <w:p w:rsidR="00DA31AB" w:rsidRDefault="00DA31AB" w:rsidP="00177054">
      <w:pPr>
        <w:rPr>
          <w:b/>
          <w:sz w:val="24"/>
        </w:rPr>
      </w:pPr>
    </w:p>
    <w:p w:rsidR="003F5210" w:rsidRDefault="003F5210" w:rsidP="00177054">
      <w:pPr>
        <w:rPr>
          <w:b/>
          <w:sz w:val="24"/>
        </w:rPr>
      </w:pPr>
    </w:p>
    <w:p w:rsidR="008E03F7" w:rsidRDefault="00BA0887" w:rsidP="00177054">
      <w:pPr>
        <w:rPr>
          <w:sz w:val="24"/>
        </w:rPr>
      </w:pPr>
      <w:r>
        <w:rPr>
          <w:b/>
          <w:sz w:val="24"/>
        </w:rPr>
        <w:t xml:space="preserve">November </w:t>
      </w:r>
      <w:r w:rsidR="00891A40">
        <w:rPr>
          <w:b/>
          <w:sz w:val="24"/>
        </w:rPr>
        <w:t>3</w:t>
      </w:r>
      <w:r w:rsidR="008037BD" w:rsidRPr="00472D7D">
        <w:rPr>
          <w:b/>
          <w:sz w:val="24"/>
        </w:rPr>
        <w:t xml:space="preserve"> – </w:t>
      </w:r>
      <w:r w:rsidR="005F54B3">
        <w:rPr>
          <w:b/>
          <w:sz w:val="24"/>
        </w:rPr>
        <w:t>The Impact of Mass Incarceration on Disadvantaged Neighborhoods</w:t>
      </w:r>
    </w:p>
    <w:p w:rsidR="00472D7D" w:rsidRDefault="00472D7D" w:rsidP="00177054">
      <w:pPr>
        <w:rPr>
          <w:sz w:val="24"/>
        </w:rPr>
      </w:pPr>
    </w:p>
    <w:p w:rsidR="00472D7D" w:rsidRDefault="00472D7D" w:rsidP="00177054">
      <w:pPr>
        <w:rPr>
          <w:sz w:val="24"/>
        </w:rPr>
      </w:pPr>
      <w:r>
        <w:rPr>
          <w:sz w:val="24"/>
        </w:rPr>
        <w:t xml:space="preserve">Required readings – </w:t>
      </w:r>
    </w:p>
    <w:p w:rsidR="00472D7D" w:rsidRDefault="00472D7D" w:rsidP="00177054">
      <w:pPr>
        <w:rPr>
          <w:sz w:val="24"/>
        </w:rPr>
      </w:pPr>
    </w:p>
    <w:p w:rsidR="006F7F07" w:rsidRPr="00E01CEA" w:rsidRDefault="006F7F07" w:rsidP="00E01CEA">
      <w:pPr>
        <w:ind w:left="720"/>
        <w:rPr>
          <w:i/>
          <w:sz w:val="24"/>
        </w:rPr>
      </w:pPr>
      <w:r>
        <w:rPr>
          <w:sz w:val="24"/>
        </w:rPr>
        <w:t>Chapter 1</w:t>
      </w:r>
      <w:r w:rsidR="00E01CEA">
        <w:rPr>
          <w:sz w:val="24"/>
        </w:rPr>
        <w:t>, “The Problem of Concentrated Incarceration,”</w:t>
      </w:r>
      <w:r>
        <w:rPr>
          <w:sz w:val="24"/>
        </w:rPr>
        <w:t xml:space="preserve"> in Todd Clear. 2007. </w:t>
      </w:r>
      <w:r w:rsidRPr="006F7F07">
        <w:rPr>
          <w:i/>
          <w:sz w:val="24"/>
        </w:rPr>
        <w:t>Imprisoning Communities: How Mass Incarceration Makes Disadvantaged Neighborhoods Worse.</w:t>
      </w:r>
      <w:r>
        <w:rPr>
          <w:sz w:val="24"/>
        </w:rPr>
        <w:t xml:space="preserve"> New York: Oxford University Press.</w:t>
      </w:r>
    </w:p>
    <w:p w:rsidR="001B1089" w:rsidRDefault="001B1089" w:rsidP="001B1089">
      <w:pPr>
        <w:ind w:left="720"/>
        <w:rPr>
          <w:sz w:val="24"/>
        </w:rPr>
      </w:pPr>
    </w:p>
    <w:p w:rsidR="001B1089" w:rsidRPr="001B1089" w:rsidRDefault="001B1089" w:rsidP="001B1089">
      <w:pPr>
        <w:ind w:left="720"/>
        <w:rPr>
          <w:sz w:val="24"/>
        </w:rPr>
      </w:pPr>
      <w:r w:rsidRPr="001B1089">
        <w:rPr>
          <w:sz w:val="24"/>
        </w:rPr>
        <w:t>Bruce</w:t>
      </w:r>
      <w:r>
        <w:rPr>
          <w:sz w:val="24"/>
        </w:rPr>
        <w:t xml:space="preserve"> Western</w:t>
      </w:r>
      <w:r w:rsidRPr="001B1089">
        <w:rPr>
          <w:sz w:val="24"/>
        </w:rPr>
        <w:t xml:space="preserve"> and Becky Pettit. 2010. “Incarceration and Social Inequality.” </w:t>
      </w:r>
      <w:r w:rsidRPr="001B1089">
        <w:rPr>
          <w:i/>
          <w:sz w:val="24"/>
        </w:rPr>
        <w:t>Daedalus</w:t>
      </w:r>
      <w:r>
        <w:rPr>
          <w:sz w:val="24"/>
        </w:rPr>
        <w:t>,</w:t>
      </w:r>
    </w:p>
    <w:p w:rsidR="001B1089" w:rsidRDefault="001B1089" w:rsidP="001B1089">
      <w:pPr>
        <w:ind w:left="720"/>
        <w:rPr>
          <w:sz w:val="24"/>
        </w:rPr>
      </w:pPr>
      <w:r w:rsidRPr="001B1089">
        <w:rPr>
          <w:sz w:val="24"/>
        </w:rPr>
        <w:t>8–19</w:t>
      </w:r>
      <w:r>
        <w:rPr>
          <w:sz w:val="24"/>
        </w:rPr>
        <w:t>.</w:t>
      </w:r>
    </w:p>
    <w:p w:rsidR="006F7F07" w:rsidRDefault="006F7F07" w:rsidP="00177054">
      <w:pPr>
        <w:rPr>
          <w:sz w:val="24"/>
        </w:rPr>
      </w:pPr>
    </w:p>
    <w:p w:rsidR="00515C09" w:rsidRPr="00515C09" w:rsidRDefault="005F54B3" w:rsidP="00515C09">
      <w:pPr>
        <w:ind w:left="720"/>
        <w:rPr>
          <w:sz w:val="24"/>
        </w:rPr>
      </w:pPr>
      <w:r>
        <w:rPr>
          <w:sz w:val="24"/>
        </w:rPr>
        <w:lastRenderedPageBreak/>
        <w:t xml:space="preserve">Anne Morrison </w:t>
      </w:r>
      <w:proofErr w:type="spellStart"/>
      <w:r>
        <w:rPr>
          <w:sz w:val="24"/>
        </w:rPr>
        <w:t>Piehl</w:t>
      </w:r>
      <w:proofErr w:type="spellEnd"/>
      <w:r>
        <w:rPr>
          <w:sz w:val="24"/>
        </w:rPr>
        <w:t xml:space="preserve"> and Bert </w:t>
      </w:r>
      <w:proofErr w:type="spellStart"/>
      <w:r>
        <w:rPr>
          <w:sz w:val="24"/>
        </w:rPr>
        <w:t>Useem</w:t>
      </w:r>
      <w:proofErr w:type="spellEnd"/>
      <w:r w:rsidR="00515C09">
        <w:rPr>
          <w:sz w:val="24"/>
        </w:rPr>
        <w:t>. 20</w:t>
      </w:r>
      <w:r w:rsidR="00E01CEA">
        <w:rPr>
          <w:sz w:val="24"/>
        </w:rPr>
        <w:t>11</w:t>
      </w:r>
      <w:r>
        <w:rPr>
          <w:sz w:val="24"/>
        </w:rPr>
        <w:t>. “Prisons</w:t>
      </w:r>
      <w:r w:rsidR="00515C09">
        <w:rPr>
          <w:sz w:val="24"/>
        </w:rPr>
        <w:t xml:space="preserve">.” </w:t>
      </w:r>
      <w:r>
        <w:rPr>
          <w:sz w:val="24"/>
        </w:rPr>
        <w:t xml:space="preserve">In </w:t>
      </w:r>
      <w:r w:rsidRPr="004829B5">
        <w:rPr>
          <w:i/>
          <w:sz w:val="24"/>
        </w:rPr>
        <w:t>Crime</w:t>
      </w:r>
      <w:r>
        <w:rPr>
          <w:i/>
          <w:sz w:val="24"/>
        </w:rPr>
        <w:t xml:space="preserve"> and Public Policy</w:t>
      </w:r>
      <w:r>
        <w:rPr>
          <w:sz w:val="24"/>
        </w:rPr>
        <w:t xml:space="preserve">, edited by James Q. Wilson and Joan </w:t>
      </w:r>
      <w:proofErr w:type="spellStart"/>
      <w:r>
        <w:rPr>
          <w:sz w:val="24"/>
        </w:rPr>
        <w:t>Petersilia</w:t>
      </w:r>
      <w:proofErr w:type="spellEnd"/>
      <w:r>
        <w:rPr>
          <w:sz w:val="24"/>
        </w:rPr>
        <w:t xml:space="preserve">.  </w:t>
      </w:r>
      <w:r w:rsidRPr="00FE6E9A">
        <w:rPr>
          <w:sz w:val="24"/>
        </w:rPr>
        <w:t>New York: Oxford University Press.</w:t>
      </w:r>
    </w:p>
    <w:p w:rsidR="00CC33F1" w:rsidRDefault="00CC33F1" w:rsidP="00E632E9">
      <w:pPr>
        <w:rPr>
          <w:b/>
          <w:sz w:val="24"/>
        </w:rPr>
      </w:pPr>
    </w:p>
    <w:p w:rsidR="00103BC5" w:rsidRDefault="00103BC5" w:rsidP="00E632E9">
      <w:pPr>
        <w:rPr>
          <w:b/>
          <w:sz w:val="24"/>
        </w:rPr>
      </w:pPr>
    </w:p>
    <w:p w:rsidR="00E632E9" w:rsidRPr="007D0C44" w:rsidRDefault="00B615BC" w:rsidP="00E632E9">
      <w:pPr>
        <w:rPr>
          <w:b/>
          <w:sz w:val="24"/>
        </w:rPr>
      </w:pPr>
      <w:r>
        <w:rPr>
          <w:b/>
          <w:sz w:val="24"/>
        </w:rPr>
        <w:t xml:space="preserve">November </w:t>
      </w:r>
      <w:r w:rsidR="00891A40">
        <w:rPr>
          <w:b/>
          <w:sz w:val="24"/>
        </w:rPr>
        <w:t>5</w:t>
      </w:r>
      <w:r w:rsidR="008037BD" w:rsidRPr="007D0C44">
        <w:rPr>
          <w:b/>
          <w:sz w:val="24"/>
        </w:rPr>
        <w:t xml:space="preserve"> </w:t>
      </w:r>
      <w:r w:rsidR="00E632E9" w:rsidRPr="007D0C44">
        <w:rPr>
          <w:b/>
          <w:sz w:val="24"/>
        </w:rPr>
        <w:t>– Community Corrections</w:t>
      </w:r>
      <w:r w:rsidR="007D0C44">
        <w:rPr>
          <w:b/>
          <w:sz w:val="24"/>
        </w:rPr>
        <w:t xml:space="preserve"> and Prisoner Re</w:t>
      </w:r>
      <w:r w:rsidR="00812AF1" w:rsidRPr="007D0C44">
        <w:rPr>
          <w:b/>
          <w:sz w:val="24"/>
        </w:rPr>
        <w:t>entry</w:t>
      </w:r>
    </w:p>
    <w:p w:rsidR="008E03F7" w:rsidRDefault="008E03F7" w:rsidP="00177054">
      <w:pPr>
        <w:rPr>
          <w:sz w:val="24"/>
        </w:rPr>
      </w:pPr>
    </w:p>
    <w:p w:rsidR="007D0C44" w:rsidRDefault="007D0C44" w:rsidP="00177054">
      <w:pPr>
        <w:rPr>
          <w:sz w:val="24"/>
        </w:rPr>
      </w:pPr>
      <w:r>
        <w:rPr>
          <w:sz w:val="24"/>
        </w:rPr>
        <w:t xml:space="preserve">Required readings – </w:t>
      </w:r>
    </w:p>
    <w:p w:rsidR="00906713" w:rsidRDefault="00906713" w:rsidP="007D0C44">
      <w:pPr>
        <w:ind w:left="720"/>
        <w:rPr>
          <w:sz w:val="24"/>
        </w:rPr>
      </w:pPr>
    </w:p>
    <w:p w:rsidR="00E01CEA" w:rsidRDefault="00E01CEA" w:rsidP="007D0C44">
      <w:pPr>
        <w:ind w:left="720"/>
        <w:rPr>
          <w:sz w:val="24"/>
        </w:rPr>
      </w:pPr>
      <w:r>
        <w:rPr>
          <w:sz w:val="24"/>
        </w:rPr>
        <w:t xml:space="preserve">Joan </w:t>
      </w:r>
      <w:proofErr w:type="spellStart"/>
      <w:r>
        <w:rPr>
          <w:sz w:val="24"/>
        </w:rPr>
        <w:t>Petersilia</w:t>
      </w:r>
      <w:proofErr w:type="spellEnd"/>
      <w:r>
        <w:rPr>
          <w:sz w:val="24"/>
        </w:rPr>
        <w:t xml:space="preserve">. 2011. “Community Corrections: Probation, Parole, and Prisoner Reentry.” In </w:t>
      </w:r>
      <w:r w:rsidRPr="004829B5">
        <w:rPr>
          <w:i/>
          <w:sz w:val="24"/>
        </w:rPr>
        <w:t>Crime</w:t>
      </w:r>
      <w:r>
        <w:rPr>
          <w:i/>
          <w:sz w:val="24"/>
        </w:rPr>
        <w:t xml:space="preserve"> and Public Policy</w:t>
      </w:r>
      <w:r>
        <w:rPr>
          <w:sz w:val="24"/>
        </w:rPr>
        <w:t xml:space="preserve">, edited by James Q. Wilson and Joan </w:t>
      </w:r>
      <w:proofErr w:type="spellStart"/>
      <w:r>
        <w:rPr>
          <w:sz w:val="24"/>
        </w:rPr>
        <w:t>Petersilia</w:t>
      </w:r>
      <w:proofErr w:type="spellEnd"/>
      <w:r>
        <w:rPr>
          <w:sz w:val="24"/>
        </w:rPr>
        <w:t xml:space="preserve">.  </w:t>
      </w:r>
      <w:r w:rsidRPr="00FE6E9A">
        <w:rPr>
          <w:sz w:val="24"/>
        </w:rPr>
        <w:t>New York: Oxford University Press.</w:t>
      </w:r>
    </w:p>
    <w:p w:rsidR="00E01CEA" w:rsidRDefault="00E01CEA" w:rsidP="007D0C44">
      <w:pPr>
        <w:ind w:left="720"/>
        <w:rPr>
          <w:sz w:val="24"/>
        </w:rPr>
      </w:pPr>
    </w:p>
    <w:p w:rsidR="007D0C44" w:rsidRDefault="007D0C44" w:rsidP="007D0C44">
      <w:pPr>
        <w:ind w:left="720"/>
        <w:rPr>
          <w:sz w:val="24"/>
        </w:rPr>
      </w:pPr>
      <w:r>
        <w:rPr>
          <w:sz w:val="24"/>
        </w:rPr>
        <w:t xml:space="preserve">Chapter 1 – “The Emerging Importance of Prisoner Reentry to Crime and the Community.” In Joan </w:t>
      </w:r>
      <w:proofErr w:type="spellStart"/>
      <w:r>
        <w:rPr>
          <w:sz w:val="24"/>
        </w:rPr>
        <w:t>Petersilia</w:t>
      </w:r>
      <w:proofErr w:type="spellEnd"/>
      <w:r>
        <w:rPr>
          <w:sz w:val="24"/>
        </w:rPr>
        <w:t xml:space="preserve">. 2003. </w:t>
      </w:r>
      <w:r>
        <w:rPr>
          <w:i/>
          <w:sz w:val="24"/>
        </w:rPr>
        <w:t>When Prisoners Come Home</w:t>
      </w:r>
      <w:r>
        <w:rPr>
          <w:sz w:val="24"/>
        </w:rPr>
        <w:t xml:space="preserve">.  </w:t>
      </w:r>
      <w:smartTag w:uri="urn:schemas-microsoft-com:office:smarttags" w:element="State">
        <w:r>
          <w:rPr>
            <w:sz w:val="24"/>
          </w:rPr>
          <w:t>New York</w:t>
        </w:r>
      </w:smartTag>
      <w:r>
        <w:rPr>
          <w:sz w:val="24"/>
        </w:rPr>
        <w:t xml:space="preserve">: </w:t>
      </w:r>
      <w:smartTag w:uri="urn:schemas-microsoft-com:office:smarttags" w:element="place">
        <w:smartTag w:uri="urn:schemas-microsoft-com:office:smarttags" w:element="PlaceName">
          <w:r>
            <w:rPr>
              <w:sz w:val="24"/>
            </w:rPr>
            <w:t>Oxford</w:t>
          </w:r>
        </w:smartTag>
        <w:r>
          <w:rPr>
            <w:sz w:val="24"/>
          </w:rPr>
          <w:t xml:space="preserve"> </w:t>
        </w:r>
        <w:smartTag w:uri="urn:schemas-microsoft-com:office:smarttags" w:element="PlaceType">
          <w:r>
            <w:rPr>
              <w:sz w:val="24"/>
            </w:rPr>
            <w:t>University</w:t>
          </w:r>
        </w:smartTag>
      </w:smartTag>
      <w:r>
        <w:rPr>
          <w:sz w:val="24"/>
        </w:rPr>
        <w:t xml:space="preserve"> Press.</w:t>
      </w:r>
    </w:p>
    <w:p w:rsidR="007D0C44" w:rsidRDefault="007D0C44" w:rsidP="00177054">
      <w:pPr>
        <w:rPr>
          <w:sz w:val="24"/>
        </w:rPr>
      </w:pPr>
    </w:p>
    <w:p w:rsidR="002C4F7F" w:rsidRDefault="002C4F7F" w:rsidP="002C4F7F">
      <w:pPr>
        <w:rPr>
          <w:i/>
          <w:sz w:val="24"/>
        </w:rPr>
      </w:pPr>
      <w:r>
        <w:rPr>
          <w:sz w:val="24"/>
        </w:rPr>
        <w:tab/>
        <w:t xml:space="preserve">Donald </w:t>
      </w:r>
      <w:proofErr w:type="spellStart"/>
      <w:r>
        <w:rPr>
          <w:sz w:val="24"/>
        </w:rPr>
        <w:t>Braman</w:t>
      </w:r>
      <w:proofErr w:type="spellEnd"/>
      <w:r>
        <w:rPr>
          <w:sz w:val="24"/>
        </w:rPr>
        <w:t xml:space="preserve"> and Jennifer Wood. 2003. “From One Generation to the Next: How </w:t>
      </w:r>
      <w:r>
        <w:rPr>
          <w:sz w:val="24"/>
        </w:rPr>
        <w:tab/>
        <w:t xml:space="preserve">Criminal Sanctions are Reshaping Family Life in Urban America.” In </w:t>
      </w:r>
      <w:r>
        <w:rPr>
          <w:i/>
          <w:sz w:val="24"/>
        </w:rPr>
        <w:t xml:space="preserve">Prisoners Once </w:t>
      </w:r>
    </w:p>
    <w:p w:rsidR="002C4F7F" w:rsidRPr="002C4F7F" w:rsidRDefault="002C4F7F" w:rsidP="002C4F7F">
      <w:pPr>
        <w:rPr>
          <w:sz w:val="24"/>
        </w:rPr>
      </w:pPr>
      <w:r>
        <w:rPr>
          <w:i/>
          <w:sz w:val="24"/>
        </w:rPr>
        <w:tab/>
        <w:t>Removed</w:t>
      </w:r>
      <w:r>
        <w:rPr>
          <w:sz w:val="24"/>
        </w:rPr>
        <w:t xml:space="preserve">, edited by Jeremy Travis and Michelle </w:t>
      </w:r>
      <w:proofErr w:type="spellStart"/>
      <w:r>
        <w:rPr>
          <w:sz w:val="24"/>
        </w:rPr>
        <w:t>Waul</w:t>
      </w:r>
      <w:proofErr w:type="spellEnd"/>
      <w:r>
        <w:rPr>
          <w:sz w:val="24"/>
        </w:rPr>
        <w:t xml:space="preserv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The Urban </w:t>
      </w:r>
      <w:r>
        <w:rPr>
          <w:sz w:val="24"/>
        </w:rPr>
        <w:tab/>
        <w:t>Institute Press.</w:t>
      </w:r>
    </w:p>
    <w:p w:rsidR="002C4F7F" w:rsidRDefault="002C4F7F" w:rsidP="00177054">
      <w:pPr>
        <w:rPr>
          <w:sz w:val="24"/>
        </w:rPr>
      </w:pPr>
      <w:r>
        <w:rPr>
          <w:sz w:val="24"/>
        </w:rPr>
        <w:t xml:space="preserve"> </w:t>
      </w:r>
    </w:p>
    <w:p w:rsidR="003F5210" w:rsidRDefault="003F5210" w:rsidP="00032362">
      <w:pPr>
        <w:rPr>
          <w:b/>
          <w:sz w:val="24"/>
        </w:rPr>
      </w:pPr>
    </w:p>
    <w:p w:rsidR="00032362" w:rsidRPr="00EE7F8A" w:rsidRDefault="00891A40" w:rsidP="00032362">
      <w:pPr>
        <w:rPr>
          <w:b/>
          <w:sz w:val="24"/>
        </w:rPr>
      </w:pPr>
      <w:r>
        <w:rPr>
          <w:b/>
          <w:sz w:val="24"/>
        </w:rPr>
        <w:t>November 10</w:t>
      </w:r>
      <w:r w:rsidR="00032362" w:rsidRPr="00EE7F8A">
        <w:rPr>
          <w:b/>
          <w:sz w:val="24"/>
        </w:rPr>
        <w:t xml:space="preserve"> – Gangs </w:t>
      </w:r>
      <w:r w:rsidR="00C674E8">
        <w:rPr>
          <w:b/>
          <w:sz w:val="24"/>
        </w:rPr>
        <w:t>and Gang Violence</w:t>
      </w:r>
    </w:p>
    <w:p w:rsidR="00032362" w:rsidRDefault="00032362" w:rsidP="00032362">
      <w:pPr>
        <w:rPr>
          <w:sz w:val="24"/>
        </w:rPr>
      </w:pPr>
    </w:p>
    <w:p w:rsidR="00032362" w:rsidRDefault="00032362" w:rsidP="00032362">
      <w:pPr>
        <w:rPr>
          <w:sz w:val="24"/>
        </w:rPr>
      </w:pPr>
      <w:r>
        <w:rPr>
          <w:sz w:val="24"/>
        </w:rPr>
        <w:t>Required readings –</w:t>
      </w:r>
    </w:p>
    <w:p w:rsidR="00032362" w:rsidRDefault="00032362" w:rsidP="00032362">
      <w:pPr>
        <w:rPr>
          <w:sz w:val="24"/>
        </w:rPr>
      </w:pPr>
    </w:p>
    <w:p w:rsidR="00E01CEA" w:rsidRDefault="00E01CEA" w:rsidP="00032362">
      <w:pPr>
        <w:rPr>
          <w:sz w:val="24"/>
        </w:rPr>
      </w:pPr>
      <w:r>
        <w:rPr>
          <w:sz w:val="24"/>
        </w:rPr>
        <w:tab/>
        <w:t xml:space="preserve">Cheryl </w:t>
      </w:r>
      <w:proofErr w:type="spellStart"/>
      <w:r>
        <w:rPr>
          <w:sz w:val="24"/>
        </w:rPr>
        <w:t>Maxson</w:t>
      </w:r>
      <w:proofErr w:type="spellEnd"/>
      <w:r>
        <w:rPr>
          <w:sz w:val="24"/>
        </w:rPr>
        <w:t xml:space="preserve">. 2011. “Street Gangs.” In </w:t>
      </w:r>
      <w:r w:rsidRPr="004829B5">
        <w:rPr>
          <w:i/>
          <w:sz w:val="24"/>
        </w:rPr>
        <w:t>Crime</w:t>
      </w:r>
      <w:r>
        <w:rPr>
          <w:i/>
          <w:sz w:val="24"/>
        </w:rPr>
        <w:t xml:space="preserve"> and Public Policy</w:t>
      </w:r>
      <w:r>
        <w:rPr>
          <w:sz w:val="24"/>
        </w:rPr>
        <w:t xml:space="preserve">, edited by James Q. </w:t>
      </w:r>
    </w:p>
    <w:p w:rsidR="00E01CEA" w:rsidRDefault="00E01CEA" w:rsidP="00E01CEA">
      <w:pPr>
        <w:ind w:firstLine="720"/>
        <w:rPr>
          <w:sz w:val="24"/>
        </w:rPr>
      </w:pPr>
      <w:r>
        <w:rPr>
          <w:sz w:val="24"/>
        </w:rPr>
        <w:t xml:space="preserve">Wilson and Joan </w:t>
      </w:r>
      <w:proofErr w:type="spellStart"/>
      <w:r>
        <w:rPr>
          <w:sz w:val="24"/>
        </w:rPr>
        <w:t>Petersilia</w:t>
      </w:r>
      <w:proofErr w:type="spellEnd"/>
      <w:r>
        <w:rPr>
          <w:sz w:val="24"/>
        </w:rPr>
        <w:t xml:space="preserve">.  </w:t>
      </w:r>
      <w:r w:rsidRPr="00FE6E9A">
        <w:rPr>
          <w:sz w:val="24"/>
        </w:rPr>
        <w:t>New York: Oxford University Press.</w:t>
      </w:r>
    </w:p>
    <w:p w:rsidR="00E01CEA" w:rsidRDefault="00E01CEA" w:rsidP="00032362">
      <w:pPr>
        <w:rPr>
          <w:sz w:val="24"/>
        </w:rPr>
      </w:pPr>
    </w:p>
    <w:p w:rsidR="00E01CEA" w:rsidRPr="00E81780" w:rsidRDefault="00E01CEA" w:rsidP="00E01CEA">
      <w:pPr>
        <w:ind w:firstLine="720"/>
        <w:rPr>
          <w:sz w:val="24"/>
        </w:rPr>
      </w:pPr>
      <w:r>
        <w:rPr>
          <w:sz w:val="24"/>
        </w:rPr>
        <w:t xml:space="preserve">Chapter 3 – “The War.” In </w:t>
      </w:r>
      <w:proofErr w:type="spellStart"/>
      <w:r>
        <w:rPr>
          <w:sz w:val="24"/>
        </w:rPr>
        <w:t>Sanyika</w:t>
      </w:r>
      <w:proofErr w:type="spellEnd"/>
      <w:r>
        <w:rPr>
          <w:sz w:val="24"/>
        </w:rPr>
        <w:t xml:space="preserve"> Shakur. 1993. </w:t>
      </w:r>
      <w:r>
        <w:rPr>
          <w:i/>
          <w:sz w:val="24"/>
        </w:rPr>
        <w:t xml:space="preserve">Monster: The Autobiography of an </w:t>
      </w:r>
      <w:r>
        <w:rPr>
          <w:i/>
          <w:sz w:val="24"/>
        </w:rPr>
        <w:tab/>
      </w:r>
      <w:smartTag w:uri="urn:schemas-microsoft-com:office:smarttags" w:element="place">
        <w:smartTag w:uri="urn:schemas-microsoft-com:office:smarttags" w:element="City">
          <w:r>
            <w:rPr>
              <w:i/>
              <w:sz w:val="24"/>
            </w:rPr>
            <w:t>L.A.</w:t>
          </w:r>
        </w:smartTag>
      </w:smartTag>
      <w:r>
        <w:rPr>
          <w:i/>
          <w:sz w:val="24"/>
        </w:rPr>
        <w:t xml:space="preserve"> Gang Member</w:t>
      </w:r>
      <w:r>
        <w:rPr>
          <w:sz w:val="24"/>
        </w:rPr>
        <w:t xml:space="preserve">. </w:t>
      </w:r>
      <w:smartTag w:uri="urn:schemas-microsoft-com:office:smarttags" w:element="place">
        <w:smartTag w:uri="urn:schemas-microsoft-com:office:smarttags" w:element="State">
          <w:r>
            <w:rPr>
              <w:sz w:val="24"/>
            </w:rPr>
            <w:t>New York</w:t>
          </w:r>
        </w:smartTag>
      </w:smartTag>
      <w:r>
        <w:rPr>
          <w:sz w:val="24"/>
        </w:rPr>
        <w:t>: Penguin Books.</w:t>
      </w:r>
    </w:p>
    <w:p w:rsidR="00E01CEA" w:rsidRDefault="00E01CEA" w:rsidP="00E01CEA">
      <w:pPr>
        <w:rPr>
          <w:sz w:val="24"/>
        </w:rPr>
      </w:pPr>
    </w:p>
    <w:p w:rsidR="00E01CEA" w:rsidRPr="00EE7F8A" w:rsidRDefault="00E01CEA" w:rsidP="00E01CEA">
      <w:pPr>
        <w:ind w:left="720"/>
        <w:rPr>
          <w:sz w:val="24"/>
        </w:rPr>
      </w:pPr>
      <w:r>
        <w:rPr>
          <w:sz w:val="24"/>
        </w:rPr>
        <w:t xml:space="preserve">Jeffrey Fagan and Deanna Wilkinson. 1998. “Guns, Youth Violence, and Social Identity.” In </w:t>
      </w:r>
      <w:r>
        <w:rPr>
          <w:i/>
          <w:sz w:val="24"/>
        </w:rPr>
        <w:t>Youth Violence, Crime and Justice, Vol. 24</w:t>
      </w:r>
      <w:r>
        <w:rPr>
          <w:sz w:val="24"/>
        </w:rPr>
        <w:t xml:space="preserve">, edited by Michael </w:t>
      </w:r>
      <w:proofErr w:type="spellStart"/>
      <w:r>
        <w:rPr>
          <w:sz w:val="24"/>
        </w:rPr>
        <w:t>Tonry</w:t>
      </w:r>
      <w:proofErr w:type="spellEnd"/>
      <w:r>
        <w:rPr>
          <w:sz w:val="24"/>
        </w:rPr>
        <w:t xml:space="preserve"> and Mark H. Moore. </w:t>
      </w:r>
      <w:smartTag w:uri="urn:schemas-microsoft-com:office:smarttags" w:element="City">
        <w:r>
          <w:rPr>
            <w:sz w:val="24"/>
          </w:rPr>
          <w:t>Chicago</w:t>
        </w:r>
      </w:smartTag>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Chicago</w:t>
          </w:r>
        </w:smartTag>
      </w:smartTag>
      <w:r>
        <w:rPr>
          <w:sz w:val="24"/>
        </w:rPr>
        <w:t xml:space="preserve"> Press.</w:t>
      </w:r>
    </w:p>
    <w:p w:rsidR="00E01CEA" w:rsidRDefault="00E01CEA" w:rsidP="00E01CEA">
      <w:pPr>
        <w:rPr>
          <w:sz w:val="24"/>
        </w:rPr>
      </w:pPr>
    </w:p>
    <w:p w:rsidR="00E01CEA" w:rsidRPr="00ED6EEF" w:rsidRDefault="00E01CEA" w:rsidP="00E01CEA">
      <w:pPr>
        <w:rPr>
          <w:sz w:val="24"/>
        </w:rPr>
      </w:pPr>
      <w:r>
        <w:rPr>
          <w:sz w:val="24"/>
        </w:rPr>
        <w:tab/>
        <w:t xml:space="preserve">Anderson, Elijah. 1994. “The Code of the Streets.” </w:t>
      </w:r>
      <w:smartTag w:uri="urn:schemas-microsoft-com:office:smarttags" w:element="place">
        <w:r>
          <w:rPr>
            <w:i/>
            <w:sz w:val="24"/>
          </w:rPr>
          <w:t>Atlantic</w:t>
        </w:r>
      </w:smartTag>
      <w:r>
        <w:rPr>
          <w:i/>
          <w:sz w:val="24"/>
        </w:rPr>
        <w:t xml:space="preserve"> Monthly</w:t>
      </w:r>
      <w:r>
        <w:rPr>
          <w:sz w:val="24"/>
        </w:rPr>
        <w:t>, May: 81 – 94.</w:t>
      </w:r>
    </w:p>
    <w:p w:rsidR="00032362" w:rsidRDefault="00032362" w:rsidP="00B615BC">
      <w:pPr>
        <w:rPr>
          <w:b/>
          <w:sz w:val="24"/>
        </w:rPr>
      </w:pPr>
    </w:p>
    <w:p w:rsidR="008E1698" w:rsidRDefault="008E1698" w:rsidP="00B615BC">
      <w:pPr>
        <w:rPr>
          <w:b/>
          <w:sz w:val="24"/>
        </w:rPr>
      </w:pPr>
    </w:p>
    <w:p w:rsidR="00891A40" w:rsidRPr="00C674E8" w:rsidRDefault="00092B37" w:rsidP="00177054">
      <w:pPr>
        <w:rPr>
          <w:sz w:val="24"/>
        </w:rPr>
      </w:pPr>
      <w:r>
        <w:rPr>
          <w:b/>
          <w:sz w:val="24"/>
        </w:rPr>
        <w:t>November 12</w:t>
      </w:r>
      <w:r w:rsidR="00C674E8">
        <w:rPr>
          <w:b/>
          <w:sz w:val="24"/>
        </w:rPr>
        <w:t xml:space="preserve"> – Guest Speaker – </w:t>
      </w:r>
      <w:r w:rsidR="00C674E8">
        <w:rPr>
          <w:sz w:val="24"/>
        </w:rPr>
        <w:t xml:space="preserve">Assistant United States Attorney John </w:t>
      </w:r>
      <w:proofErr w:type="spellStart"/>
      <w:r w:rsidR="00C674E8">
        <w:rPr>
          <w:sz w:val="24"/>
        </w:rPr>
        <w:t>Wortmann</w:t>
      </w:r>
      <w:proofErr w:type="spellEnd"/>
    </w:p>
    <w:p w:rsidR="00092B37" w:rsidRDefault="00092B37" w:rsidP="00092B37">
      <w:pPr>
        <w:rPr>
          <w:b/>
          <w:sz w:val="24"/>
        </w:rPr>
      </w:pPr>
    </w:p>
    <w:p w:rsidR="00BD42FA" w:rsidRDefault="00BD42FA" w:rsidP="00092B37">
      <w:pPr>
        <w:rPr>
          <w:b/>
          <w:sz w:val="24"/>
        </w:rPr>
      </w:pPr>
    </w:p>
    <w:p w:rsidR="00092B37" w:rsidRDefault="00092B37" w:rsidP="00092B37">
      <w:pPr>
        <w:rPr>
          <w:b/>
          <w:sz w:val="24"/>
        </w:rPr>
      </w:pPr>
      <w:r>
        <w:rPr>
          <w:b/>
          <w:sz w:val="24"/>
        </w:rPr>
        <w:t>November 17 – Focused Deterrence Strategies to Reduce Gang Violence</w:t>
      </w:r>
    </w:p>
    <w:p w:rsidR="00092B37" w:rsidRDefault="00092B37" w:rsidP="00092B37">
      <w:pPr>
        <w:rPr>
          <w:b/>
          <w:sz w:val="24"/>
        </w:rPr>
      </w:pPr>
    </w:p>
    <w:p w:rsidR="00092B37" w:rsidRPr="00EE7F8A" w:rsidRDefault="00092B37" w:rsidP="00092B37">
      <w:pPr>
        <w:rPr>
          <w:b/>
          <w:sz w:val="24"/>
        </w:rPr>
      </w:pPr>
      <w:r>
        <w:rPr>
          <w:sz w:val="24"/>
        </w:rPr>
        <w:t>Required readings –</w:t>
      </w:r>
    </w:p>
    <w:p w:rsidR="00092B37" w:rsidRDefault="00092B37" w:rsidP="00092B37">
      <w:pPr>
        <w:rPr>
          <w:sz w:val="24"/>
        </w:rPr>
      </w:pPr>
    </w:p>
    <w:p w:rsidR="00092B37" w:rsidRPr="00B72433" w:rsidRDefault="00092B37" w:rsidP="00092B37">
      <w:pPr>
        <w:ind w:left="720"/>
        <w:rPr>
          <w:sz w:val="24"/>
        </w:rPr>
      </w:pPr>
      <w:r w:rsidRPr="00B72433">
        <w:rPr>
          <w:sz w:val="24"/>
        </w:rPr>
        <w:lastRenderedPageBreak/>
        <w:t xml:space="preserve">Chapters 1, 2, and 3 in David M. Kennedy. 2011. </w:t>
      </w:r>
      <w:r w:rsidRPr="00B72433">
        <w:rPr>
          <w:i/>
          <w:sz w:val="24"/>
        </w:rPr>
        <w:t>Don’t Shoot: One Man, A Street Fellowship, and the End of Violence in Inner-City America.</w:t>
      </w:r>
      <w:r w:rsidRPr="00B72433">
        <w:rPr>
          <w:sz w:val="24"/>
        </w:rPr>
        <w:t xml:space="preserve"> New York: Bloomsbury.</w:t>
      </w:r>
    </w:p>
    <w:p w:rsidR="00092B37" w:rsidRPr="00ED6EEF" w:rsidRDefault="00092B37" w:rsidP="00092B37">
      <w:pPr>
        <w:rPr>
          <w:sz w:val="24"/>
        </w:rPr>
      </w:pPr>
    </w:p>
    <w:p w:rsidR="00092B37" w:rsidRPr="00521D57" w:rsidRDefault="00092B37" w:rsidP="00092B37">
      <w:pPr>
        <w:ind w:firstLine="720"/>
        <w:rPr>
          <w:sz w:val="24"/>
        </w:rPr>
      </w:pPr>
      <w:r w:rsidRPr="00521D57">
        <w:rPr>
          <w:sz w:val="24"/>
        </w:rPr>
        <w:t xml:space="preserve">David M. Kennedy. 2009. “Drugs, Race, and Common Ground: Reflections on the High </w:t>
      </w:r>
      <w:r w:rsidRPr="00521D57">
        <w:rPr>
          <w:sz w:val="24"/>
        </w:rPr>
        <w:tab/>
        <w:t xml:space="preserve">Point Intervention.” </w:t>
      </w:r>
      <w:r w:rsidRPr="00521D57">
        <w:rPr>
          <w:i/>
          <w:sz w:val="24"/>
        </w:rPr>
        <w:t xml:space="preserve">National </w:t>
      </w:r>
      <w:smartTag w:uri="urn:schemas-microsoft-com:office:smarttags" w:element="place">
        <w:smartTag w:uri="urn:schemas-microsoft-com:office:smarttags" w:element="PlaceType">
          <w:r w:rsidRPr="00521D57">
            <w:rPr>
              <w:i/>
              <w:sz w:val="24"/>
            </w:rPr>
            <w:t>Institute</w:t>
          </w:r>
        </w:smartTag>
        <w:r w:rsidRPr="00521D57">
          <w:rPr>
            <w:i/>
            <w:sz w:val="24"/>
          </w:rPr>
          <w:t xml:space="preserve"> of </w:t>
        </w:r>
        <w:smartTag w:uri="urn:schemas-microsoft-com:office:smarttags" w:element="PlaceName">
          <w:r w:rsidRPr="00521D57">
            <w:rPr>
              <w:i/>
              <w:sz w:val="24"/>
            </w:rPr>
            <w:t>Justice Journal</w:t>
          </w:r>
        </w:smartTag>
      </w:smartTag>
      <w:r w:rsidRPr="00521D57">
        <w:rPr>
          <w:sz w:val="24"/>
        </w:rPr>
        <w:t>, 262: 12 – 17.</w:t>
      </w:r>
    </w:p>
    <w:p w:rsidR="00092B37" w:rsidRDefault="00092B37" w:rsidP="00092B37">
      <w:pPr>
        <w:rPr>
          <w:b/>
          <w:sz w:val="24"/>
        </w:rPr>
      </w:pPr>
      <w:r w:rsidRPr="00521D57">
        <w:rPr>
          <w:sz w:val="24"/>
        </w:rPr>
        <w:tab/>
      </w:r>
    </w:p>
    <w:p w:rsidR="00B72433" w:rsidRDefault="00B72433" w:rsidP="00177054">
      <w:pPr>
        <w:rPr>
          <w:b/>
          <w:sz w:val="24"/>
        </w:rPr>
      </w:pPr>
    </w:p>
    <w:p w:rsidR="00891A40" w:rsidRDefault="00360D30" w:rsidP="00177054">
      <w:pPr>
        <w:rPr>
          <w:b/>
          <w:sz w:val="24"/>
        </w:rPr>
      </w:pPr>
      <w:r>
        <w:rPr>
          <w:b/>
          <w:sz w:val="24"/>
        </w:rPr>
        <w:t xml:space="preserve">November </w:t>
      </w:r>
      <w:r w:rsidR="00891A40">
        <w:rPr>
          <w:b/>
          <w:sz w:val="24"/>
        </w:rPr>
        <w:t>19</w:t>
      </w:r>
      <w:r w:rsidR="00E632E9" w:rsidRPr="00EE7F8A">
        <w:rPr>
          <w:b/>
          <w:sz w:val="24"/>
        </w:rPr>
        <w:t xml:space="preserve"> – </w:t>
      </w:r>
      <w:r w:rsidR="00891A40">
        <w:rPr>
          <w:b/>
          <w:sz w:val="24"/>
        </w:rPr>
        <w:t>CLASS CANCELLED</w:t>
      </w:r>
    </w:p>
    <w:p w:rsidR="00B72433" w:rsidRDefault="00B72433" w:rsidP="00177054">
      <w:pPr>
        <w:rPr>
          <w:b/>
          <w:sz w:val="24"/>
        </w:rPr>
      </w:pPr>
    </w:p>
    <w:p w:rsidR="00964F0F" w:rsidRDefault="00964F0F" w:rsidP="00177054">
      <w:pPr>
        <w:rPr>
          <w:b/>
          <w:sz w:val="24"/>
        </w:rPr>
      </w:pPr>
    </w:p>
    <w:p w:rsidR="008E03F7" w:rsidRDefault="00032362" w:rsidP="00177054">
      <w:pPr>
        <w:rPr>
          <w:b/>
          <w:sz w:val="24"/>
        </w:rPr>
      </w:pPr>
      <w:r>
        <w:rPr>
          <w:b/>
          <w:sz w:val="24"/>
        </w:rPr>
        <w:t>Nove</w:t>
      </w:r>
      <w:r w:rsidR="00B615BC">
        <w:rPr>
          <w:b/>
          <w:sz w:val="24"/>
        </w:rPr>
        <w:t xml:space="preserve">mber </w:t>
      </w:r>
      <w:r w:rsidR="00891A40">
        <w:rPr>
          <w:b/>
          <w:sz w:val="24"/>
        </w:rPr>
        <w:t>24</w:t>
      </w:r>
      <w:r w:rsidR="00616F20" w:rsidRPr="00AA11DC">
        <w:rPr>
          <w:b/>
          <w:sz w:val="24"/>
        </w:rPr>
        <w:t xml:space="preserve"> – </w:t>
      </w:r>
      <w:r w:rsidR="00C674E8">
        <w:rPr>
          <w:b/>
          <w:sz w:val="24"/>
        </w:rPr>
        <w:t>Guns and Violence</w:t>
      </w:r>
    </w:p>
    <w:p w:rsidR="00BA0887" w:rsidRDefault="00BA0887" w:rsidP="00177054">
      <w:pPr>
        <w:rPr>
          <w:sz w:val="24"/>
        </w:rPr>
      </w:pPr>
    </w:p>
    <w:p w:rsidR="002723EB" w:rsidRPr="00AA11DC" w:rsidRDefault="002723EB" w:rsidP="00177054">
      <w:pPr>
        <w:rPr>
          <w:b/>
          <w:sz w:val="24"/>
        </w:rPr>
      </w:pPr>
      <w:r>
        <w:rPr>
          <w:sz w:val="24"/>
        </w:rPr>
        <w:t>Required readings –</w:t>
      </w:r>
    </w:p>
    <w:p w:rsidR="00B72433" w:rsidRDefault="00B72433" w:rsidP="00B72433">
      <w:pPr>
        <w:rPr>
          <w:sz w:val="24"/>
        </w:rPr>
      </w:pPr>
    </w:p>
    <w:p w:rsidR="00B72433" w:rsidRPr="005E2FE7" w:rsidRDefault="00B72433" w:rsidP="00B72433">
      <w:pPr>
        <w:ind w:firstLine="720"/>
        <w:rPr>
          <w:sz w:val="24"/>
        </w:rPr>
      </w:pPr>
      <w:r>
        <w:rPr>
          <w:sz w:val="24"/>
        </w:rPr>
        <w:t xml:space="preserve">Chapter 10 in Geoffrey Canada. 1995. </w:t>
      </w:r>
      <w:r>
        <w:rPr>
          <w:i/>
          <w:sz w:val="24"/>
        </w:rPr>
        <w:t xml:space="preserve">Fist Stick Knife Gun. </w:t>
      </w: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smartTag>
      <w:r>
        <w:rPr>
          <w:sz w:val="24"/>
        </w:rPr>
        <w:t>: Beacon Press.</w:t>
      </w:r>
    </w:p>
    <w:p w:rsidR="00B72433" w:rsidRDefault="00B72433" w:rsidP="00B72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rPr>
      </w:pPr>
    </w:p>
    <w:p w:rsidR="00E94CB4" w:rsidRDefault="00B72433" w:rsidP="00DD74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sidRPr="00906713">
        <w:rPr>
          <w:sz w:val="24"/>
          <w:szCs w:val="24"/>
        </w:rPr>
        <w:t>Philip J.</w:t>
      </w:r>
      <w:r>
        <w:rPr>
          <w:sz w:val="24"/>
          <w:szCs w:val="24"/>
        </w:rPr>
        <w:t xml:space="preserve"> Cook</w:t>
      </w:r>
      <w:r w:rsidRPr="00906713">
        <w:rPr>
          <w:sz w:val="24"/>
          <w:szCs w:val="24"/>
        </w:rPr>
        <w:t>, Anthony A. Braga</w:t>
      </w:r>
      <w:r>
        <w:rPr>
          <w:sz w:val="24"/>
          <w:szCs w:val="24"/>
        </w:rPr>
        <w:t>, and Mark Moore</w:t>
      </w:r>
      <w:r w:rsidRPr="00906713">
        <w:rPr>
          <w:sz w:val="24"/>
          <w:szCs w:val="24"/>
        </w:rPr>
        <w:t>. 20</w:t>
      </w:r>
      <w:r>
        <w:rPr>
          <w:sz w:val="24"/>
          <w:szCs w:val="24"/>
        </w:rPr>
        <w:t>11</w:t>
      </w:r>
      <w:r w:rsidRPr="00906713">
        <w:rPr>
          <w:sz w:val="24"/>
          <w:szCs w:val="24"/>
        </w:rPr>
        <w:t xml:space="preserve">. “Gun Control.” </w:t>
      </w:r>
      <w:r>
        <w:rPr>
          <w:sz w:val="24"/>
        </w:rPr>
        <w:t xml:space="preserve">In </w:t>
      </w:r>
      <w:r w:rsidRPr="004829B5">
        <w:rPr>
          <w:i/>
          <w:sz w:val="24"/>
        </w:rPr>
        <w:t>Crime</w:t>
      </w:r>
      <w:r>
        <w:rPr>
          <w:i/>
          <w:sz w:val="24"/>
        </w:rPr>
        <w:t xml:space="preserve"> and Public Policy</w:t>
      </w:r>
      <w:r>
        <w:rPr>
          <w:sz w:val="24"/>
        </w:rPr>
        <w:t xml:space="preserve">, edited by James Q. Wilson and Joan </w:t>
      </w:r>
      <w:proofErr w:type="spellStart"/>
      <w:r>
        <w:rPr>
          <w:sz w:val="24"/>
        </w:rPr>
        <w:t>Petersilia</w:t>
      </w:r>
      <w:proofErr w:type="spellEnd"/>
      <w:r>
        <w:rPr>
          <w:sz w:val="24"/>
        </w:rPr>
        <w:t xml:space="preserve">.  </w:t>
      </w:r>
      <w:r w:rsidRPr="00FE6E9A">
        <w:rPr>
          <w:sz w:val="24"/>
        </w:rPr>
        <w:t>New York: Oxford University Press.</w:t>
      </w:r>
    </w:p>
    <w:p w:rsidR="00294152" w:rsidRDefault="00294152" w:rsidP="0029415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p>
    <w:p w:rsidR="00521D57" w:rsidRPr="00294152" w:rsidRDefault="00521D57" w:rsidP="00521D57">
      <w:pPr>
        <w:ind w:left="720"/>
        <w:rPr>
          <w:sz w:val="24"/>
        </w:rPr>
      </w:pPr>
      <w:proofErr w:type="spellStart"/>
      <w:r w:rsidRPr="00294152">
        <w:rPr>
          <w:sz w:val="24"/>
        </w:rPr>
        <w:t>Garen</w:t>
      </w:r>
      <w:proofErr w:type="spellEnd"/>
      <w:r w:rsidRPr="00294152">
        <w:rPr>
          <w:sz w:val="24"/>
        </w:rPr>
        <w:t xml:space="preserve"> J.</w:t>
      </w:r>
      <w:r>
        <w:rPr>
          <w:sz w:val="24"/>
        </w:rPr>
        <w:t xml:space="preserve"> </w:t>
      </w:r>
      <w:proofErr w:type="spellStart"/>
      <w:r w:rsidRPr="00294152">
        <w:rPr>
          <w:sz w:val="24"/>
        </w:rPr>
        <w:t>Wintemute</w:t>
      </w:r>
      <w:proofErr w:type="spellEnd"/>
      <w:r w:rsidRPr="00294152">
        <w:rPr>
          <w:sz w:val="24"/>
        </w:rPr>
        <w:t xml:space="preserve">, Anthony A. Braga, and David M. Kennedy. 2010. “Private-Party Gun Sales, Regulation, and Public Safety.” </w:t>
      </w:r>
      <w:r w:rsidRPr="00294152">
        <w:rPr>
          <w:i/>
          <w:sz w:val="24"/>
        </w:rPr>
        <w:t>The</w:t>
      </w:r>
      <w:r w:rsidRPr="00294152">
        <w:rPr>
          <w:sz w:val="24"/>
        </w:rPr>
        <w:t xml:space="preserve"> </w:t>
      </w:r>
      <w:r w:rsidRPr="00294152">
        <w:rPr>
          <w:i/>
          <w:sz w:val="24"/>
        </w:rPr>
        <w:t>New England Journal of Medicine</w:t>
      </w:r>
      <w:r w:rsidRPr="00294152">
        <w:rPr>
          <w:sz w:val="24"/>
        </w:rPr>
        <w:t>, 363 (6): 508 – 513.</w:t>
      </w:r>
    </w:p>
    <w:p w:rsidR="00DD740A" w:rsidRDefault="00DD740A" w:rsidP="00177054">
      <w:pPr>
        <w:rPr>
          <w:b/>
          <w:sz w:val="24"/>
        </w:rPr>
      </w:pPr>
    </w:p>
    <w:p w:rsidR="00521D57" w:rsidRDefault="00521D57" w:rsidP="00177054">
      <w:pPr>
        <w:rPr>
          <w:b/>
          <w:sz w:val="24"/>
        </w:rPr>
      </w:pPr>
    </w:p>
    <w:p w:rsidR="00891A40" w:rsidRPr="00E01CEA" w:rsidRDefault="00032362" w:rsidP="00177054">
      <w:pPr>
        <w:rPr>
          <w:b/>
          <w:sz w:val="24"/>
        </w:rPr>
      </w:pPr>
      <w:r>
        <w:rPr>
          <w:b/>
          <w:sz w:val="24"/>
        </w:rPr>
        <w:t>November</w:t>
      </w:r>
      <w:r w:rsidR="00360D30">
        <w:rPr>
          <w:b/>
          <w:sz w:val="24"/>
        </w:rPr>
        <w:t xml:space="preserve"> </w:t>
      </w:r>
      <w:r w:rsidR="00891A40">
        <w:rPr>
          <w:b/>
          <w:sz w:val="24"/>
        </w:rPr>
        <w:t>26</w:t>
      </w:r>
      <w:r w:rsidR="00616F20" w:rsidRPr="002723EB">
        <w:rPr>
          <w:b/>
          <w:sz w:val="24"/>
        </w:rPr>
        <w:t xml:space="preserve"> – </w:t>
      </w:r>
      <w:r w:rsidR="00891A40">
        <w:rPr>
          <w:b/>
          <w:sz w:val="24"/>
        </w:rPr>
        <w:t>CLASS CANCELLED</w:t>
      </w:r>
      <w:r w:rsidR="00E01CEA">
        <w:rPr>
          <w:b/>
          <w:sz w:val="24"/>
        </w:rPr>
        <w:t xml:space="preserve"> – </w:t>
      </w:r>
      <w:r w:rsidR="00891A40" w:rsidRPr="00891A40">
        <w:rPr>
          <w:sz w:val="24"/>
        </w:rPr>
        <w:t>Thanksgiving Recess</w:t>
      </w:r>
    </w:p>
    <w:p w:rsidR="002B009A" w:rsidRDefault="002B009A" w:rsidP="00177054">
      <w:pPr>
        <w:rPr>
          <w:b/>
          <w:sz w:val="24"/>
        </w:rPr>
      </w:pPr>
    </w:p>
    <w:p w:rsidR="00964F0F" w:rsidRDefault="00964F0F" w:rsidP="00177054">
      <w:pPr>
        <w:rPr>
          <w:b/>
          <w:sz w:val="24"/>
        </w:rPr>
      </w:pPr>
    </w:p>
    <w:p w:rsidR="008E03F7" w:rsidRPr="002A2E21" w:rsidRDefault="00891A40" w:rsidP="00177054">
      <w:pPr>
        <w:rPr>
          <w:b/>
          <w:sz w:val="24"/>
        </w:rPr>
      </w:pPr>
      <w:r>
        <w:rPr>
          <w:b/>
          <w:sz w:val="24"/>
        </w:rPr>
        <w:t xml:space="preserve">December 1 </w:t>
      </w:r>
      <w:r w:rsidR="004C6AAB">
        <w:rPr>
          <w:b/>
          <w:sz w:val="24"/>
        </w:rPr>
        <w:t>–</w:t>
      </w:r>
      <w:r w:rsidR="00521D57">
        <w:rPr>
          <w:b/>
          <w:sz w:val="24"/>
        </w:rPr>
        <w:t xml:space="preserve"> </w:t>
      </w:r>
      <w:r w:rsidR="00616F20" w:rsidRPr="002A2E21">
        <w:rPr>
          <w:b/>
          <w:sz w:val="24"/>
        </w:rPr>
        <w:t>Drug</w:t>
      </w:r>
      <w:r w:rsidR="004C6AAB">
        <w:rPr>
          <w:b/>
          <w:sz w:val="24"/>
        </w:rPr>
        <w:t>s and Crime</w:t>
      </w:r>
      <w:r w:rsidR="00616F20" w:rsidRPr="002A2E21">
        <w:rPr>
          <w:b/>
          <w:sz w:val="24"/>
        </w:rPr>
        <w:t xml:space="preserve"> </w:t>
      </w:r>
    </w:p>
    <w:p w:rsidR="00E668DF" w:rsidRDefault="00E668DF" w:rsidP="00177054">
      <w:pPr>
        <w:rPr>
          <w:sz w:val="24"/>
        </w:rPr>
      </w:pPr>
    </w:p>
    <w:p w:rsidR="00AD028B" w:rsidRDefault="00AD028B" w:rsidP="00AD028B">
      <w:pPr>
        <w:rPr>
          <w:sz w:val="24"/>
        </w:rPr>
      </w:pPr>
      <w:r>
        <w:rPr>
          <w:sz w:val="24"/>
        </w:rPr>
        <w:t xml:space="preserve">Required readings – </w:t>
      </w:r>
    </w:p>
    <w:p w:rsidR="00AD028B" w:rsidRDefault="00AD028B" w:rsidP="00177054">
      <w:pPr>
        <w:rPr>
          <w:sz w:val="24"/>
        </w:rPr>
      </w:pPr>
    </w:p>
    <w:p w:rsidR="00D74B43" w:rsidRDefault="00D74B43" w:rsidP="00D74B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sz w:val="24"/>
        </w:rPr>
        <w:t xml:space="preserve">David A. </w:t>
      </w:r>
      <w:proofErr w:type="spellStart"/>
      <w:r>
        <w:rPr>
          <w:sz w:val="24"/>
        </w:rPr>
        <w:t>Boyum</w:t>
      </w:r>
      <w:proofErr w:type="spellEnd"/>
      <w:r>
        <w:rPr>
          <w:sz w:val="24"/>
        </w:rPr>
        <w:t xml:space="preserve">, Jonathan P. </w:t>
      </w:r>
      <w:proofErr w:type="spellStart"/>
      <w:r>
        <w:rPr>
          <w:sz w:val="24"/>
        </w:rPr>
        <w:t>Caulkins</w:t>
      </w:r>
      <w:proofErr w:type="spellEnd"/>
      <w:r>
        <w:rPr>
          <w:sz w:val="24"/>
        </w:rPr>
        <w:t xml:space="preserve">, and Mark A. R. </w:t>
      </w:r>
      <w:proofErr w:type="spellStart"/>
      <w:r>
        <w:rPr>
          <w:sz w:val="24"/>
        </w:rPr>
        <w:t>Kleiman</w:t>
      </w:r>
      <w:proofErr w:type="spellEnd"/>
      <w:r>
        <w:rPr>
          <w:sz w:val="24"/>
        </w:rPr>
        <w:t xml:space="preserve">. 2011. “Drugs, Crime, and Public Policy.” In </w:t>
      </w:r>
      <w:r w:rsidRPr="004829B5">
        <w:rPr>
          <w:i/>
          <w:sz w:val="24"/>
        </w:rPr>
        <w:t>Crime</w:t>
      </w:r>
      <w:r>
        <w:rPr>
          <w:i/>
          <w:sz w:val="24"/>
        </w:rPr>
        <w:t xml:space="preserve"> and Public Policy</w:t>
      </w:r>
      <w:r>
        <w:rPr>
          <w:sz w:val="24"/>
        </w:rPr>
        <w:t xml:space="preserve">, edited by James Q. Wilson and Joan </w:t>
      </w:r>
      <w:proofErr w:type="spellStart"/>
      <w:r>
        <w:rPr>
          <w:sz w:val="24"/>
        </w:rPr>
        <w:t>Petersilia</w:t>
      </w:r>
      <w:proofErr w:type="spellEnd"/>
      <w:r>
        <w:rPr>
          <w:sz w:val="24"/>
        </w:rPr>
        <w:t xml:space="preserve">.  </w:t>
      </w:r>
      <w:r w:rsidRPr="00FE6E9A">
        <w:rPr>
          <w:sz w:val="24"/>
        </w:rPr>
        <w:t>New York: Oxford University Press.</w:t>
      </w:r>
    </w:p>
    <w:p w:rsidR="00B72433" w:rsidRDefault="00B72433" w:rsidP="00B72433">
      <w:pPr>
        <w:rPr>
          <w:sz w:val="24"/>
        </w:rPr>
      </w:pPr>
    </w:p>
    <w:p w:rsidR="00B72433" w:rsidRPr="001763BA" w:rsidRDefault="00B72433" w:rsidP="00B72433">
      <w:pPr>
        <w:rPr>
          <w:sz w:val="24"/>
        </w:rPr>
      </w:pPr>
      <w:r>
        <w:rPr>
          <w:sz w:val="24"/>
        </w:rPr>
        <w:tab/>
        <w:t xml:space="preserve">Chapter 3 – “Why Do Drug Dealers Still Live With Their Moms?” In Steven D. Levitt </w:t>
      </w:r>
      <w:r>
        <w:rPr>
          <w:sz w:val="24"/>
        </w:rPr>
        <w:tab/>
        <w:t xml:space="preserve">and Stephen J. </w:t>
      </w:r>
      <w:proofErr w:type="spellStart"/>
      <w:r>
        <w:rPr>
          <w:sz w:val="24"/>
        </w:rPr>
        <w:t>Dubner</w:t>
      </w:r>
      <w:proofErr w:type="spellEnd"/>
      <w:r>
        <w:rPr>
          <w:sz w:val="24"/>
        </w:rPr>
        <w:t xml:space="preserve">. 2005. </w:t>
      </w:r>
      <w:proofErr w:type="spellStart"/>
      <w:r>
        <w:rPr>
          <w:i/>
          <w:sz w:val="24"/>
        </w:rPr>
        <w:t>Freakonomics</w:t>
      </w:r>
      <w:proofErr w:type="spellEnd"/>
      <w:r>
        <w:rPr>
          <w:i/>
          <w:sz w:val="24"/>
        </w:rPr>
        <w:t xml:space="preserve">. </w:t>
      </w:r>
      <w:smartTag w:uri="urn:schemas-microsoft-com:office:smarttags" w:element="place">
        <w:smartTag w:uri="urn:schemas-microsoft-com:office:smarttags" w:element="State">
          <w:r>
            <w:rPr>
              <w:sz w:val="24"/>
            </w:rPr>
            <w:t>New York</w:t>
          </w:r>
        </w:smartTag>
      </w:smartTag>
      <w:r>
        <w:rPr>
          <w:sz w:val="24"/>
        </w:rPr>
        <w:t>: Harper Collins.</w:t>
      </w:r>
    </w:p>
    <w:p w:rsidR="00B72433" w:rsidRDefault="00B72433" w:rsidP="00B72433">
      <w:pPr>
        <w:rPr>
          <w:sz w:val="24"/>
        </w:rPr>
      </w:pPr>
    </w:p>
    <w:p w:rsidR="00B72433" w:rsidRDefault="00521D57" w:rsidP="00521D57">
      <w:pPr>
        <w:ind w:firstLine="720"/>
        <w:rPr>
          <w:sz w:val="24"/>
        </w:rPr>
      </w:pPr>
      <w:r w:rsidRPr="00521D57">
        <w:rPr>
          <w:sz w:val="24"/>
        </w:rPr>
        <w:t xml:space="preserve">Chapter 3 – “New Jack: Learning to Do Drugs.” In Peter </w:t>
      </w:r>
      <w:proofErr w:type="spellStart"/>
      <w:r w:rsidRPr="00521D57">
        <w:rPr>
          <w:sz w:val="24"/>
        </w:rPr>
        <w:t>Moskos</w:t>
      </w:r>
      <w:proofErr w:type="spellEnd"/>
      <w:r w:rsidRPr="00521D57">
        <w:rPr>
          <w:sz w:val="24"/>
        </w:rPr>
        <w:t xml:space="preserve">. 2008. </w:t>
      </w:r>
      <w:r w:rsidRPr="00521D57">
        <w:rPr>
          <w:i/>
          <w:sz w:val="24"/>
        </w:rPr>
        <w:t xml:space="preserve">Cop in the </w:t>
      </w:r>
      <w:r w:rsidRPr="00521D57">
        <w:rPr>
          <w:i/>
          <w:sz w:val="24"/>
        </w:rPr>
        <w:tab/>
        <w:t xml:space="preserve">Hood: My Year Policing Baltimore’s Eastern District. </w:t>
      </w:r>
      <w:r w:rsidRPr="00521D57">
        <w:rPr>
          <w:sz w:val="24"/>
        </w:rPr>
        <w:t xml:space="preserve">Princeton, NJ: Princeton </w:t>
      </w:r>
      <w:r w:rsidRPr="00521D57">
        <w:rPr>
          <w:sz w:val="24"/>
        </w:rPr>
        <w:tab/>
        <w:t>University Press.</w:t>
      </w:r>
    </w:p>
    <w:p w:rsidR="0044009C" w:rsidRDefault="0044009C" w:rsidP="00177054">
      <w:pPr>
        <w:rPr>
          <w:b/>
          <w:sz w:val="24"/>
        </w:rPr>
      </w:pPr>
    </w:p>
    <w:p w:rsidR="00964F0F" w:rsidRDefault="00964F0F" w:rsidP="00360D30">
      <w:pPr>
        <w:rPr>
          <w:b/>
          <w:sz w:val="24"/>
        </w:rPr>
      </w:pPr>
    </w:p>
    <w:p w:rsidR="00521D57" w:rsidRDefault="00521D57" w:rsidP="00B72433">
      <w:pPr>
        <w:rPr>
          <w:b/>
          <w:sz w:val="24"/>
        </w:rPr>
      </w:pPr>
    </w:p>
    <w:p w:rsidR="00906713" w:rsidRDefault="00891A40" w:rsidP="00177054">
      <w:pPr>
        <w:rPr>
          <w:sz w:val="24"/>
        </w:rPr>
      </w:pPr>
      <w:r>
        <w:rPr>
          <w:b/>
          <w:sz w:val="24"/>
        </w:rPr>
        <w:t>Dec</w:t>
      </w:r>
      <w:r w:rsidR="00032362">
        <w:rPr>
          <w:b/>
          <w:sz w:val="24"/>
        </w:rPr>
        <w:t>ember</w:t>
      </w:r>
      <w:r w:rsidR="00BA0887">
        <w:rPr>
          <w:b/>
          <w:sz w:val="24"/>
        </w:rPr>
        <w:t xml:space="preserve"> </w:t>
      </w:r>
      <w:r w:rsidR="00521D57">
        <w:rPr>
          <w:b/>
          <w:sz w:val="24"/>
        </w:rPr>
        <w:t>3</w:t>
      </w:r>
      <w:r w:rsidR="00360D30" w:rsidRPr="00E668DF">
        <w:rPr>
          <w:b/>
          <w:sz w:val="24"/>
        </w:rPr>
        <w:t xml:space="preserve"> –</w:t>
      </w:r>
      <w:r w:rsidR="00521D57">
        <w:rPr>
          <w:b/>
          <w:sz w:val="24"/>
        </w:rPr>
        <w:t xml:space="preserve"> </w:t>
      </w:r>
      <w:r w:rsidR="004C6AAB">
        <w:rPr>
          <w:b/>
          <w:sz w:val="24"/>
        </w:rPr>
        <w:t>FINAL PAPERS ARE DUE</w:t>
      </w:r>
      <w:r w:rsidR="00A56539">
        <w:rPr>
          <w:sz w:val="24"/>
        </w:rPr>
        <w:tab/>
      </w:r>
    </w:p>
    <w:p w:rsidR="00AD028B" w:rsidRPr="00105E4D" w:rsidRDefault="003618E7" w:rsidP="00B72433">
      <w:pPr>
        <w:rPr>
          <w:sz w:val="24"/>
          <w:szCs w:val="24"/>
        </w:rPr>
      </w:pPr>
      <w:r>
        <w:rPr>
          <w:sz w:val="24"/>
        </w:rPr>
        <w:tab/>
      </w:r>
    </w:p>
    <w:sectPr w:rsidR="00AD028B" w:rsidRPr="00105E4D" w:rsidSect="002E4232">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98" w:rsidRDefault="00011198">
      <w:r>
        <w:separator/>
      </w:r>
    </w:p>
  </w:endnote>
  <w:endnote w:type="continuationSeparator" w:id="0">
    <w:p w:rsidR="00011198" w:rsidRDefault="0001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E6" w:rsidRDefault="00B0201C">
    <w:pPr>
      <w:pStyle w:val="Footer"/>
      <w:framePr w:wrap="around" w:vAnchor="text" w:hAnchor="margin" w:xAlign="right" w:y="1"/>
      <w:rPr>
        <w:rStyle w:val="PageNumber"/>
      </w:rPr>
    </w:pPr>
    <w:r>
      <w:rPr>
        <w:rStyle w:val="PageNumber"/>
      </w:rPr>
      <w:fldChar w:fldCharType="begin"/>
    </w:r>
    <w:r w:rsidR="000004E6">
      <w:rPr>
        <w:rStyle w:val="PageNumber"/>
      </w:rPr>
      <w:instrText xml:space="preserve">PAGE  </w:instrText>
    </w:r>
    <w:r>
      <w:rPr>
        <w:rStyle w:val="PageNumber"/>
      </w:rPr>
      <w:fldChar w:fldCharType="end"/>
    </w:r>
  </w:p>
  <w:p w:rsidR="000004E6" w:rsidRDefault="000004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E6" w:rsidRDefault="00B0201C">
    <w:pPr>
      <w:pStyle w:val="Footer"/>
      <w:framePr w:wrap="around" w:vAnchor="text" w:hAnchor="margin" w:xAlign="right" w:y="1"/>
      <w:rPr>
        <w:rStyle w:val="PageNumber"/>
      </w:rPr>
    </w:pPr>
    <w:r>
      <w:rPr>
        <w:rStyle w:val="PageNumber"/>
      </w:rPr>
      <w:fldChar w:fldCharType="begin"/>
    </w:r>
    <w:r w:rsidR="000004E6">
      <w:rPr>
        <w:rStyle w:val="PageNumber"/>
      </w:rPr>
      <w:instrText xml:space="preserve">PAGE  </w:instrText>
    </w:r>
    <w:r>
      <w:rPr>
        <w:rStyle w:val="PageNumber"/>
      </w:rPr>
      <w:fldChar w:fldCharType="separate"/>
    </w:r>
    <w:r w:rsidR="00EB7781">
      <w:rPr>
        <w:rStyle w:val="PageNumber"/>
        <w:noProof/>
      </w:rPr>
      <w:t>1</w:t>
    </w:r>
    <w:r>
      <w:rPr>
        <w:rStyle w:val="PageNumber"/>
      </w:rPr>
      <w:fldChar w:fldCharType="end"/>
    </w:r>
  </w:p>
  <w:p w:rsidR="000004E6" w:rsidRPr="00657924" w:rsidRDefault="000004E6" w:rsidP="00657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98" w:rsidRDefault="00011198">
      <w:r>
        <w:separator/>
      </w:r>
    </w:p>
  </w:footnote>
  <w:footnote w:type="continuationSeparator" w:id="0">
    <w:p w:rsidR="00011198" w:rsidRDefault="00011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B1"/>
    <w:rsid w:val="000004E6"/>
    <w:rsid w:val="00002798"/>
    <w:rsid w:val="0000368A"/>
    <w:rsid w:val="00011198"/>
    <w:rsid w:val="00014C72"/>
    <w:rsid w:val="0001732B"/>
    <w:rsid w:val="00024370"/>
    <w:rsid w:val="00032362"/>
    <w:rsid w:val="000447F8"/>
    <w:rsid w:val="00047DC9"/>
    <w:rsid w:val="000527A4"/>
    <w:rsid w:val="0006009A"/>
    <w:rsid w:val="00067B05"/>
    <w:rsid w:val="00090067"/>
    <w:rsid w:val="00092B37"/>
    <w:rsid w:val="000A1A36"/>
    <w:rsid w:val="000A622C"/>
    <w:rsid w:val="000B1F95"/>
    <w:rsid w:val="000C7F07"/>
    <w:rsid w:val="000D25C7"/>
    <w:rsid w:val="000D5527"/>
    <w:rsid w:val="000F0FA7"/>
    <w:rsid w:val="000F2BA6"/>
    <w:rsid w:val="00103BC5"/>
    <w:rsid w:val="00105E4D"/>
    <w:rsid w:val="00116065"/>
    <w:rsid w:val="00121F2B"/>
    <w:rsid w:val="00123972"/>
    <w:rsid w:val="00126A50"/>
    <w:rsid w:val="00144BBD"/>
    <w:rsid w:val="00145D41"/>
    <w:rsid w:val="0015535F"/>
    <w:rsid w:val="00156036"/>
    <w:rsid w:val="00170A34"/>
    <w:rsid w:val="001763BA"/>
    <w:rsid w:val="00177054"/>
    <w:rsid w:val="00186588"/>
    <w:rsid w:val="00192446"/>
    <w:rsid w:val="0019410E"/>
    <w:rsid w:val="001B0D71"/>
    <w:rsid w:val="001B1089"/>
    <w:rsid w:val="001B16D2"/>
    <w:rsid w:val="001B4F27"/>
    <w:rsid w:val="001B4F71"/>
    <w:rsid w:val="001B52B1"/>
    <w:rsid w:val="001C79DE"/>
    <w:rsid w:val="001D23C3"/>
    <w:rsid w:val="001E54B3"/>
    <w:rsid w:val="001F6912"/>
    <w:rsid w:val="00206F52"/>
    <w:rsid w:val="00210EEB"/>
    <w:rsid w:val="00212873"/>
    <w:rsid w:val="00214460"/>
    <w:rsid w:val="00221A16"/>
    <w:rsid w:val="00253C6D"/>
    <w:rsid w:val="00265FDF"/>
    <w:rsid w:val="00270BE4"/>
    <w:rsid w:val="002723EB"/>
    <w:rsid w:val="00294152"/>
    <w:rsid w:val="002A17E1"/>
    <w:rsid w:val="002A2E21"/>
    <w:rsid w:val="002B009A"/>
    <w:rsid w:val="002B69E5"/>
    <w:rsid w:val="002B6A1A"/>
    <w:rsid w:val="002C4F7F"/>
    <w:rsid w:val="002D0445"/>
    <w:rsid w:val="002D2AA2"/>
    <w:rsid w:val="002E0098"/>
    <w:rsid w:val="002E0A83"/>
    <w:rsid w:val="002E4232"/>
    <w:rsid w:val="002E4F3B"/>
    <w:rsid w:val="002E7A58"/>
    <w:rsid w:val="00303893"/>
    <w:rsid w:val="003059D2"/>
    <w:rsid w:val="00311A1C"/>
    <w:rsid w:val="00334F75"/>
    <w:rsid w:val="00343FB3"/>
    <w:rsid w:val="00353689"/>
    <w:rsid w:val="00360D30"/>
    <w:rsid w:val="003618E7"/>
    <w:rsid w:val="00365BB1"/>
    <w:rsid w:val="003822F2"/>
    <w:rsid w:val="003B0F1E"/>
    <w:rsid w:val="003B42DF"/>
    <w:rsid w:val="003B51B1"/>
    <w:rsid w:val="003C08E1"/>
    <w:rsid w:val="003C2835"/>
    <w:rsid w:val="003C7E26"/>
    <w:rsid w:val="003D1BEE"/>
    <w:rsid w:val="003E1563"/>
    <w:rsid w:val="003E19E1"/>
    <w:rsid w:val="003E3E6F"/>
    <w:rsid w:val="003F12AA"/>
    <w:rsid w:val="003F1E62"/>
    <w:rsid w:val="003F5210"/>
    <w:rsid w:val="00412513"/>
    <w:rsid w:val="00422B66"/>
    <w:rsid w:val="0043294C"/>
    <w:rsid w:val="004343F5"/>
    <w:rsid w:val="0043765F"/>
    <w:rsid w:val="0044009C"/>
    <w:rsid w:val="00447F08"/>
    <w:rsid w:val="00460F1A"/>
    <w:rsid w:val="00472D7D"/>
    <w:rsid w:val="004763EA"/>
    <w:rsid w:val="004829B5"/>
    <w:rsid w:val="0049418F"/>
    <w:rsid w:val="004A24F0"/>
    <w:rsid w:val="004A347A"/>
    <w:rsid w:val="004A7F1F"/>
    <w:rsid w:val="004C6AAB"/>
    <w:rsid w:val="004E535A"/>
    <w:rsid w:val="00511CCC"/>
    <w:rsid w:val="00512655"/>
    <w:rsid w:val="00515C09"/>
    <w:rsid w:val="00516899"/>
    <w:rsid w:val="00521D57"/>
    <w:rsid w:val="005431BE"/>
    <w:rsid w:val="00550DEE"/>
    <w:rsid w:val="00553E33"/>
    <w:rsid w:val="005624F4"/>
    <w:rsid w:val="00571BA1"/>
    <w:rsid w:val="005A6C3D"/>
    <w:rsid w:val="005B4BFD"/>
    <w:rsid w:val="005B4D13"/>
    <w:rsid w:val="005B57A6"/>
    <w:rsid w:val="005C2C0A"/>
    <w:rsid w:val="005D4BC0"/>
    <w:rsid w:val="005D7C38"/>
    <w:rsid w:val="005E2FE7"/>
    <w:rsid w:val="005E3F4A"/>
    <w:rsid w:val="005F54B3"/>
    <w:rsid w:val="00616F20"/>
    <w:rsid w:val="0062102F"/>
    <w:rsid w:val="00621529"/>
    <w:rsid w:val="00626005"/>
    <w:rsid w:val="00657924"/>
    <w:rsid w:val="00664864"/>
    <w:rsid w:val="006664E0"/>
    <w:rsid w:val="00667386"/>
    <w:rsid w:val="00672956"/>
    <w:rsid w:val="006769E0"/>
    <w:rsid w:val="00680DE5"/>
    <w:rsid w:val="0068148A"/>
    <w:rsid w:val="006817FD"/>
    <w:rsid w:val="006833FC"/>
    <w:rsid w:val="00693437"/>
    <w:rsid w:val="006A4B9A"/>
    <w:rsid w:val="006D0D6E"/>
    <w:rsid w:val="006E285A"/>
    <w:rsid w:val="006E48F8"/>
    <w:rsid w:val="006F3BA3"/>
    <w:rsid w:val="006F5118"/>
    <w:rsid w:val="006F7F07"/>
    <w:rsid w:val="00702EFE"/>
    <w:rsid w:val="00710FCC"/>
    <w:rsid w:val="007172B1"/>
    <w:rsid w:val="0072279A"/>
    <w:rsid w:val="00733E8F"/>
    <w:rsid w:val="00747A86"/>
    <w:rsid w:val="00755961"/>
    <w:rsid w:val="00757662"/>
    <w:rsid w:val="00762E62"/>
    <w:rsid w:val="007870CE"/>
    <w:rsid w:val="00794BD9"/>
    <w:rsid w:val="00797DD5"/>
    <w:rsid w:val="007A0484"/>
    <w:rsid w:val="007C4D14"/>
    <w:rsid w:val="007D0C44"/>
    <w:rsid w:val="007D23DE"/>
    <w:rsid w:val="007D431E"/>
    <w:rsid w:val="007D7F1F"/>
    <w:rsid w:val="007E42E7"/>
    <w:rsid w:val="007F3C9A"/>
    <w:rsid w:val="00802018"/>
    <w:rsid w:val="008037BD"/>
    <w:rsid w:val="0080506E"/>
    <w:rsid w:val="00812AF1"/>
    <w:rsid w:val="00816846"/>
    <w:rsid w:val="0082274E"/>
    <w:rsid w:val="00841BD0"/>
    <w:rsid w:val="00853A24"/>
    <w:rsid w:val="0087134F"/>
    <w:rsid w:val="008879D7"/>
    <w:rsid w:val="00891A40"/>
    <w:rsid w:val="008A0E98"/>
    <w:rsid w:val="008C0847"/>
    <w:rsid w:val="008D424B"/>
    <w:rsid w:val="008E03F7"/>
    <w:rsid w:val="008E0577"/>
    <w:rsid w:val="008E166B"/>
    <w:rsid w:val="008E1698"/>
    <w:rsid w:val="008E51B9"/>
    <w:rsid w:val="008E610D"/>
    <w:rsid w:val="008E6610"/>
    <w:rsid w:val="00906713"/>
    <w:rsid w:val="0091450F"/>
    <w:rsid w:val="00931B6C"/>
    <w:rsid w:val="009351C2"/>
    <w:rsid w:val="009474D3"/>
    <w:rsid w:val="009557DC"/>
    <w:rsid w:val="009640AF"/>
    <w:rsid w:val="00964F0F"/>
    <w:rsid w:val="00965409"/>
    <w:rsid w:val="009A77B2"/>
    <w:rsid w:val="009B4AB0"/>
    <w:rsid w:val="009C0AB1"/>
    <w:rsid w:val="009C11B6"/>
    <w:rsid w:val="009D01E8"/>
    <w:rsid w:val="009D7981"/>
    <w:rsid w:val="009E2092"/>
    <w:rsid w:val="009F28F7"/>
    <w:rsid w:val="009F61BF"/>
    <w:rsid w:val="00A041DA"/>
    <w:rsid w:val="00A15485"/>
    <w:rsid w:val="00A30BF8"/>
    <w:rsid w:val="00A323D7"/>
    <w:rsid w:val="00A3451C"/>
    <w:rsid w:val="00A42431"/>
    <w:rsid w:val="00A425BE"/>
    <w:rsid w:val="00A4667E"/>
    <w:rsid w:val="00A46C0B"/>
    <w:rsid w:val="00A47061"/>
    <w:rsid w:val="00A56539"/>
    <w:rsid w:val="00A56A8F"/>
    <w:rsid w:val="00A73CAC"/>
    <w:rsid w:val="00A75611"/>
    <w:rsid w:val="00A77AFE"/>
    <w:rsid w:val="00A95AC4"/>
    <w:rsid w:val="00AA11DC"/>
    <w:rsid w:val="00AA50F5"/>
    <w:rsid w:val="00AA7AD2"/>
    <w:rsid w:val="00AB1022"/>
    <w:rsid w:val="00AB6045"/>
    <w:rsid w:val="00AC5212"/>
    <w:rsid w:val="00AD028B"/>
    <w:rsid w:val="00AD2375"/>
    <w:rsid w:val="00AE71A4"/>
    <w:rsid w:val="00AF4A96"/>
    <w:rsid w:val="00AF5BB6"/>
    <w:rsid w:val="00B0201C"/>
    <w:rsid w:val="00B24EC9"/>
    <w:rsid w:val="00B44DB1"/>
    <w:rsid w:val="00B4740F"/>
    <w:rsid w:val="00B47FE2"/>
    <w:rsid w:val="00B615BC"/>
    <w:rsid w:val="00B64EA1"/>
    <w:rsid w:val="00B659C9"/>
    <w:rsid w:val="00B72433"/>
    <w:rsid w:val="00B81331"/>
    <w:rsid w:val="00B81CFA"/>
    <w:rsid w:val="00B85A08"/>
    <w:rsid w:val="00BA0887"/>
    <w:rsid w:val="00BA1BCC"/>
    <w:rsid w:val="00BB678E"/>
    <w:rsid w:val="00BC0ACC"/>
    <w:rsid w:val="00BD42FA"/>
    <w:rsid w:val="00BD4678"/>
    <w:rsid w:val="00BE052E"/>
    <w:rsid w:val="00BE2A04"/>
    <w:rsid w:val="00BE72A3"/>
    <w:rsid w:val="00C0214F"/>
    <w:rsid w:val="00C1078D"/>
    <w:rsid w:val="00C174A2"/>
    <w:rsid w:val="00C51D60"/>
    <w:rsid w:val="00C54601"/>
    <w:rsid w:val="00C56EE0"/>
    <w:rsid w:val="00C60781"/>
    <w:rsid w:val="00C625B5"/>
    <w:rsid w:val="00C6729F"/>
    <w:rsid w:val="00C674E8"/>
    <w:rsid w:val="00C834DF"/>
    <w:rsid w:val="00C96ACB"/>
    <w:rsid w:val="00CC33F1"/>
    <w:rsid w:val="00CE1D43"/>
    <w:rsid w:val="00CE78D2"/>
    <w:rsid w:val="00D14E20"/>
    <w:rsid w:val="00D36E48"/>
    <w:rsid w:val="00D74B43"/>
    <w:rsid w:val="00D92A22"/>
    <w:rsid w:val="00DA31AB"/>
    <w:rsid w:val="00DC7D6D"/>
    <w:rsid w:val="00DD1B3B"/>
    <w:rsid w:val="00DD2C6B"/>
    <w:rsid w:val="00DD740A"/>
    <w:rsid w:val="00DE403F"/>
    <w:rsid w:val="00E01CEA"/>
    <w:rsid w:val="00E07F9C"/>
    <w:rsid w:val="00E103C6"/>
    <w:rsid w:val="00E137CE"/>
    <w:rsid w:val="00E17B00"/>
    <w:rsid w:val="00E20A27"/>
    <w:rsid w:val="00E21529"/>
    <w:rsid w:val="00E21942"/>
    <w:rsid w:val="00E33DDF"/>
    <w:rsid w:val="00E35E61"/>
    <w:rsid w:val="00E40800"/>
    <w:rsid w:val="00E44495"/>
    <w:rsid w:val="00E559F8"/>
    <w:rsid w:val="00E632E9"/>
    <w:rsid w:val="00E668DF"/>
    <w:rsid w:val="00E7625F"/>
    <w:rsid w:val="00E81780"/>
    <w:rsid w:val="00E82370"/>
    <w:rsid w:val="00E94CB4"/>
    <w:rsid w:val="00E97C2B"/>
    <w:rsid w:val="00EB7781"/>
    <w:rsid w:val="00EC5A2C"/>
    <w:rsid w:val="00ED6EED"/>
    <w:rsid w:val="00ED6EEF"/>
    <w:rsid w:val="00EE7F8A"/>
    <w:rsid w:val="00EF10A4"/>
    <w:rsid w:val="00EF3F20"/>
    <w:rsid w:val="00EF449E"/>
    <w:rsid w:val="00F05667"/>
    <w:rsid w:val="00F16C4A"/>
    <w:rsid w:val="00F219F4"/>
    <w:rsid w:val="00F341C9"/>
    <w:rsid w:val="00F463BE"/>
    <w:rsid w:val="00F600B7"/>
    <w:rsid w:val="00F621CA"/>
    <w:rsid w:val="00F62AAB"/>
    <w:rsid w:val="00F65938"/>
    <w:rsid w:val="00F72AB6"/>
    <w:rsid w:val="00F732E1"/>
    <w:rsid w:val="00F74460"/>
    <w:rsid w:val="00FA0E9A"/>
    <w:rsid w:val="00FB01F1"/>
    <w:rsid w:val="00FB1523"/>
    <w:rsid w:val="00FC1A37"/>
    <w:rsid w:val="00FE3B42"/>
    <w:rsid w:val="00FE5481"/>
    <w:rsid w:val="00FE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232"/>
  </w:style>
  <w:style w:type="paragraph" w:styleId="Heading1">
    <w:name w:val="heading 1"/>
    <w:basedOn w:val="Normal"/>
    <w:next w:val="Normal"/>
    <w:qFormat/>
    <w:rsid w:val="002E4232"/>
    <w:pPr>
      <w:keepNext/>
      <w:outlineLvl w:val="0"/>
    </w:pPr>
    <w:rPr>
      <w:b/>
      <w:bCs/>
      <w:sz w:val="24"/>
    </w:rPr>
  </w:style>
  <w:style w:type="paragraph" w:styleId="Heading2">
    <w:name w:val="heading 2"/>
    <w:basedOn w:val="Normal"/>
    <w:next w:val="Normal"/>
    <w:qFormat/>
    <w:rsid w:val="002E4232"/>
    <w:pPr>
      <w:keepNext/>
      <w:jc w:val="center"/>
      <w:outlineLvl w:val="1"/>
    </w:pPr>
    <w:rPr>
      <w:b/>
      <w:bCs/>
      <w:sz w:val="24"/>
      <w:u w:val="single"/>
    </w:rPr>
  </w:style>
  <w:style w:type="paragraph" w:styleId="Heading3">
    <w:name w:val="heading 3"/>
    <w:basedOn w:val="Normal"/>
    <w:next w:val="Normal"/>
    <w:qFormat/>
    <w:rsid w:val="002E4232"/>
    <w:pPr>
      <w:keepNext/>
      <w:jc w:val="center"/>
      <w:outlineLvl w:val="2"/>
    </w:pPr>
    <w:rPr>
      <w:b/>
      <w:bCs/>
      <w:sz w:val="24"/>
    </w:rPr>
  </w:style>
  <w:style w:type="paragraph" w:styleId="Heading4">
    <w:name w:val="heading 4"/>
    <w:basedOn w:val="Normal"/>
    <w:next w:val="Normal"/>
    <w:qFormat/>
    <w:rsid w:val="002E4232"/>
    <w:pPr>
      <w:keepNext/>
      <w:outlineLvl w:val="3"/>
    </w:pPr>
    <w:rPr>
      <w:b/>
      <w:bCs/>
      <w:sz w:val="24"/>
      <w:u w:val="single"/>
    </w:rPr>
  </w:style>
  <w:style w:type="paragraph" w:styleId="Heading5">
    <w:name w:val="heading 5"/>
    <w:basedOn w:val="Normal"/>
    <w:next w:val="Normal"/>
    <w:qFormat/>
    <w:rsid w:val="002E4232"/>
    <w:pPr>
      <w:keepNext/>
      <w:outlineLvl w:val="4"/>
    </w:pPr>
    <w:rPr>
      <w:sz w:val="24"/>
    </w:rPr>
  </w:style>
  <w:style w:type="paragraph" w:styleId="Heading6">
    <w:name w:val="heading 6"/>
    <w:basedOn w:val="Normal"/>
    <w:next w:val="Normal"/>
    <w:qFormat/>
    <w:rsid w:val="002E4232"/>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4232"/>
    <w:pPr>
      <w:jc w:val="center"/>
    </w:pPr>
    <w:rPr>
      <w:b/>
      <w:bCs/>
      <w:sz w:val="24"/>
    </w:rPr>
  </w:style>
  <w:style w:type="paragraph" w:styleId="BodyText">
    <w:name w:val="Body Text"/>
    <w:basedOn w:val="Normal"/>
    <w:rsid w:val="002E4232"/>
    <w:rPr>
      <w:sz w:val="24"/>
    </w:rPr>
  </w:style>
  <w:style w:type="paragraph" w:styleId="Footer">
    <w:name w:val="footer"/>
    <w:basedOn w:val="Normal"/>
    <w:rsid w:val="002E4232"/>
    <w:pPr>
      <w:tabs>
        <w:tab w:val="center" w:pos="4320"/>
        <w:tab w:val="right" w:pos="8640"/>
      </w:tabs>
    </w:pPr>
  </w:style>
  <w:style w:type="character" w:styleId="PageNumber">
    <w:name w:val="page number"/>
    <w:basedOn w:val="DefaultParagraphFont"/>
    <w:rsid w:val="002E4232"/>
  </w:style>
  <w:style w:type="character" w:styleId="Hyperlink">
    <w:name w:val="Hyperlink"/>
    <w:rsid w:val="00EF3F20"/>
    <w:rPr>
      <w:color w:val="0000FF"/>
      <w:u w:val="single"/>
    </w:rPr>
  </w:style>
  <w:style w:type="character" w:styleId="FollowedHyperlink">
    <w:name w:val="FollowedHyperlink"/>
    <w:rsid w:val="00BE052E"/>
    <w:rPr>
      <w:color w:val="800080"/>
      <w:u w:val="single"/>
    </w:rPr>
  </w:style>
  <w:style w:type="paragraph" w:styleId="NormalWeb">
    <w:name w:val="Normal (Web)"/>
    <w:basedOn w:val="Normal"/>
    <w:rsid w:val="00550DEE"/>
    <w:pPr>
      <w:spacing w:before="100" w:beforeAutospacing="1" w:after="100" w:afterAutospacing="1"/>
    </w:pPr>
    <w:rPr>
      <w:sz w:val="24"/>
      <w:szCs w:val="24"/>
    </w:rPr>
  </w:style>
  <w:style w:type="paragraph" w:styleId="Header">
    <w:name w:val="header"/>
    <w:basedOn w:val="Normal"/>
    <w:rsid w:val="00657924"/>
    <w:pPr>
      <w:tabs>
        <w:tab w:val="center" w:pos="4320"/>
        <w:tab w:val="right" w:pos="8640"/>
      </w:tabs>
    </w:pPr>
  </w:style>
  <w:style w:type="character" w:customStyle="1" w:styleId="gi">
    <w:name w:val="gi"/>
    <w:basedOn w:val="DefaultParagraphFont"/>
    <w:rsid w:val="00BB6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232"/>
  </w:style>
  <w:style w:type="paragraph" w:styleId="Heading1">
    <w:name w:val="heading 1"/>
    <w:basedOn w:val="Normal"/>
    <w:next w:val="Normal"/>
    <w:qFormat/>
    <w:rsid w:val="002E4232"/>
    <w:pPr>
      <w:keepNext/>
      <w:outlineLvl w:val="0"/>
    </w:pPr>
    <w:rPr>
      <w:b/>
      <w:bCs/>
      <w:sz w:val="24"/>
    </w:rPr>
  </w:style>
  <w:style w:type="paragraph" w:styleId="Heading2">
    <w:name w:val="heading 2"/>
    <w:basedOn w:val="Normal"/>
    <w:next w:val="Normal"/>
    <w:qFormat/>
    <w:rsid w:val="002E4232"/>
    <w:pPr>
      <w:keepNext/>
      <w:jc w:val="center"/>
      <w:outlineLvl w:val="1"/>
    </w:pPr>
    <w:rPr>
      <w:b/>
      <w:bCs/>
      <w:sz w:val="24"/>
      <w:u w:val="single"/>
    </w:rPr>
  </w:style>
  <w:style w:type="paragraph" w:styleId="Heading3">
    <w:name w:val="heading 3"/>
    <w:basedOn w:val="Normal"/>
    <w:next w:val="Normal"/>
    <w:qFormat/>
    <w:rsid w:val="002E4232"/>
    <w:pPr>
      <w:keepNext/>
      <w:jc w:val="center"/>
      <w:outlineLvl w:val="2"/>
    </w:pPr>
    <w:rPr>
      <w:b/>
      <w:bCs/>
      <w:sz w:val="24"/>
    </w:rPr>
  </w:style>
  <w:style w:type="paragraph" w:styleId="Heading4">
    <w:name w:val="heading 4"/>
    <w:basedOn w:val="Normal"/>
    <w:next w:val="Normal"/>
    <w:qFormat/>
    <w:rsid w:val="002E4232"/>
    <w:pPr>
      <w:keepNext/>
      <w:outlineLvl w:val="3"/>
    </w:pPr>
    <w:rPr>
      <w:b/>
      <w:bCs/>
      <w:sz w:val="24"/>
      <w:u w:val="single"/>
    </w:rPr>
  </w:style>
  <w:style w:type="paragraph" w:styleId="Heading5">
    <w:name w:val="heading 5"/>
    <w:basedOn w:val="Normal"/>
    <w:next w:val="Normal"/>
    <w:qFormat/>
    <w:rsid w:val="002E4232"/>
    <w:pPr>
      <w:keepNext/>
      <w:outlineLvl w:val="4"/>
    </w:pPr>
    <w:rPr>
      <w:sz w:val="24"/>
    </w:rPr>
  </w:style>
  <w:style w:type="paragraph" w:styleId="Heading6">
    <w:name w:val="heading 6"/>
    <w:basedOn w:val="Normal"/>
    <w:next w:val="Normal"/>
    <w:qFormat/>
    <w:rsid w:val="002E4232"/>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4232"/>
    <w:pPr>
      <w:jc w:val="center"/>
    </w:pPr>
    <w:rPr>
      <w:b/>
      <w:bCs/>
      <w:sz w:val="24"/>
    </w:rPr>
  </w:style>
  <w:style w:type="paragraph" w:styleId="BodyText">
    <w:name w:val="Body Text"/>
    <w:basedOn w:val="Normal"/>
    <w:rsid w:val="002E4232"/>
    <w:rPr>
      <w:sz w:val="24"/>
    </w:rPr>
  </w:style>
  <w:style w:type="paragraph" w:styleId="Footer">
    <w:name w:val="footer"/>
    <w:basedOn w:val="Normal"/>
    <w:rsid w:val="002E4232"/>
    <w:pPr>
      <w:tabs>
        <w:tab w:val="center" w:pos="4320"/>
        <w:tab w:val="right" w:pos="8640"/>
      </w:tabs>
    </w:pPr>
  </w:style>
  <w:style w:type="character" w:styleId="PageNumber">
    <w:name w:val="page number"/>
    <w:basedOn w:val="DefaultParagraphFont"/>
    <w:rsid w:val="002E4232"/>
  </w:style>
  <w:style w:type="character" w:styleId="Hyperlink">
    <w:name w:val="Hyperlink"/>
    <w:rsid w:val="00EF3F20"/>
    <w:rPr>
      <w:color w:val="0000FF"/>
      <w:u w:val="single"/>
    </w:rPr>
  </w:style>
  <w:style w:type="character" w:styleId="FollowedHyperlink">
    <w:name w:val="FollowedHyperlink"/>
    <w:rsid w:val="00BE052E"/>
    <w:rPr>
      <w:color w:val="800080"/>
      <w:u w:val="single"/>
    </w:rPr>
  </w:style>
  <w:style w:type="paragraph" w:styleId="NormalWeb">
    <w:name w:val="Normal (Web)"/>
    <w:basedOn w:val="Normal"/>
    <w:rsid w:val="00550DEE"/>
    <w:pPr>
      <w:spacing w:before="100" w:beforeAutospacing="1" w:after="100" w:afterAutospacing="1"/>
    </w:pPr>
    <w:rPr>
      <w:sz w:val="24"/>
      <w:szCs w:val="24"/>
    </w:rPr>
  </w:style>
  <w:style w:type="paragraph" w:styleId="Header">
    <w:name w:val="header"/>
    <w:basedOn w:val="Normal"/>
    <w:rsid w:val="00657924"/>
    <w:pPr>
      <w:tabs>
        <w:tab w:val="center" w:pos="4320"/>
        <w:tab w:val="right" w:pos="8640"/>
      </w:tabs>
    </w:pPr>
  </w:style>
  <w:style w:type="character" w:customStyle="1" w:styleId="gi">
    <w:name w:val="gi"/>
    <w:basedOn w:val="DefaultParagraphFont"/>
    <w:rsid w:val="00BB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7CF98-0763-4234-99F0-74C6A141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Harvard University</vt:lpstr>
    </vt:vector>
  </TitlesOfParts>
  <Company>Harvard University</Company>
  <LinksUpToDate>false</LinksUpToDate>
  <CharactersWithSpaces>15635</CharactersWithSpaces>
  <SharedDoc>false</SharedDoc>
  <HLinks>
    <vt:vector size="102" baseType="variant">
      <vt:variant>
        <vt:i4>1638430</vt:i4>
      </vt:variant>
      <vt:variant>
        <vt:i4>48</vt:i4>
      </vt:variant>
      <vt:variant>
        <vt:i4>0</vt:i4>
      </vt:variant>
      <vt:variant>
        <vt:i4>5</vt:i4>
      </vt:variant>
      <vt:variant>
        <vt:lpwstr>http://www.ncjrs.gov/pdffiles1/nij/225760.pdf</vt:lpwstr>
      </vt:variant>
      <vt:variant>
        <vt:lpwstr/>
      </vt:variant>
      <vt:variant>
        <vt:i4>1376277</vt:i4>
      </vt:variant>
      <vt:variant>
        <vt:i4>45</vt:i4>
      </vt:variant>
      <vt:variant>
        <vt:i4>0</vt:i4>
      </vt:variant>
      <vt:variant>
        <vt:i4>5</vt:i4>
      </vt:variant>
      <vt:variant>
        <vt:lpwstr>http://www.ncjrs.gov/pdffiles1/nij/188741.pdf</vt:lpwstr>
      </vt:variant>
      <vt:variant>
        <vt:lpwstr/>
      </vt:variant>
      <vt:variant>
        <vt:i4>5243005</vt:i4>
      </vt:variant>
      <vt:variant>
        <vt:i4>42</vt:i4>
      </vt:variant>
      <vt:variant>
        <vt:i4>0</vt:i4>
      </vt:variant>
      <vt:variant>
        <vt:i4>5</vt:i4>
      </vt:variant>
      <vt:variant>
        <vt:lpwstr>http://www.boston.com/news/globe/editorial_opinion/oped/articles/2007/03/31/negotiating_gang_peace</vt:lpwstr>
      </vt:variant>
      <vt:variant>
        <vt:lpwstr/>
      </vt:variant>
      <vt:variant>
        <vt:i4>5963820</vt:i4>
      </vt:variant>
      <vt:variant>
        <vt:i4>39</vt:i4>
      </vt:variant>
      <vt:variant>
        <vt:i4>0</vt:i4>
      </vt:variant>
      <vt:variant>
        <vt:i4>5</vt:i4>
      </vt:variant>
      <vt:variant>
        <vt:lpwstr>http://www.boston.com/bostonglobe/editorial_opinion/oped/articles/2007/11/25/curbing_gun_violence_requires_trust/</vt:lpwstr>
      </vt:variant>
      <vt:variant>
        <vt:lpwstr/>
      </vt:variant>
      <vt:variant>
        <vt:i4>1441865</vt:i4>
      </vt:variant>
      <vt:variant>
        <vt:i4>36</vt:i4>
      </vt:variant>
      <vt:variant>
        <vt:i4>0</vt:i4>
      </vt:variant>
      <vt:variant>
        <vt:i4>5</vt:i4>
      </vt:variant>
      <vt:variant>
        <vt:lpwstr>http://www.washingtonpost.com/wp-dyn/content/article/2009/04/29/AR2009042901551.html</vt:lpwstr>
      </vt:variant>
      <vt:variant>
        <vt:lpwstr/>
      </vt:variant>
      <vt:variant>
        <vt:i4>983104</vt:i4>
      </vt:variant>
      <vt:variant>
        <vt:i4>33</vt:i4>
      </vt:variant>
      <vt:variant>
        <vt:i4>0</vt:i4>
      </vt:variant>
      <vt:variant>
        <vt:i4>5</vt:i4>
      </vt:variant>
      <vt:variant>
        <vt:lpwstr>http://www.ojp.usdoj.gov/bjs/pub/html/cp/2007/cp07st.pdf</vt:lpwstr>
      </vt:variant>
      <vt:variant>
        <vt:lpwstr/>
      </vt:variant>
      <vt:variant>
        <vt:i4>2949173</vt:i4>
      </vt:variant>
      <vt:variant>
        <vt:i4>30</vt:i4>
      </vt:variant>
      <vt:variant>
        <vt:i4>0</vt:i4>
      </vt:variant>
      <vt:variant>
        <vt:i4>5</vt:i4>
      </vt:variant>
      <vt:variant>
        <vt:lpwstr>http://www.asc41.com/policypaper2.html</vt:lpwstr>
      </vt:variant>
      <vt:variant>
        <vt:lpwstr/>
      </vt:variant>
      <vt:variant>
        <vt:i4>393298</vt:i4>
      </vt:variant>
      <vt:variant>
        <vt:i4>27</vt:i4>
      </vt:variant>
      <vt:variant>
        <vt:i4>0</vt:i4>
      </vt:variant>
      <vt:variant>
        <vt:i4>5</vt:i4>
      </vt:variant>
      <vt:variant>
        <vt:lpwstr>http://www.nytimes.com/2007/11/18/us/18deter.html</vt:lpwstr>
      </vt:variant>
      <vt:variant>
        <vt:lpwstr/>
      </vt:variant>
      <vt:variant>
        <vt:i4>3473414</vt:i4>
      </vt:variant>
      <vt:variant>
        <vt:i4>24</vt:i4>
      </vt:variant>
      <vt:variant>
        <vt:i4>0</vt:i4>
      </vt:variant>
      <vt:variant>
        <vt:i4>5</vt:i4>
      </vt:variant>
      <vt:variant>
        <vt:lpwstr>http://www.boston.com/bostonglobe/editorial_opinion/editorials/articles/2009/07/31/prejudice_in_e_mail_form/</vt:lpwstr>
      </vt:variant>
      <vt:variant>
        <vt:lpwstr/>
      </vt:variant>
      <vt:variant>
        <vt:i4>1310766</vt:i4>
      </vt:variant>
      <vt:variant>
        <vt:i4>21</vt:i4>
      </vt:variant>
      <vt:variant>
        <vt:i4>0</vt:i4>
      </vt:variant>
      <vt:variant>
        <vt:i4>5</vt:i4>
      </vt:variant>
      <vt:variant>
        <vt:lpwstr>http://www.city-journal.org/html/11_2_the_myth.html</vt:lpwstr>
      </vt:variant>
      <vt:variant>
        <vt:lpwstr/>
      </vt:variant>
      <vt:variant>
        <vt:i4>1835080</vt:i4>
      </vt:variant>
      <vt:variant>
        <vt:i4>18</vt:i4>
      </vt:variant>
      <vt:variant>
        <vt:i4>0</vt:i4>
      </vt:variant>
      <vt:variant>
        <vt:i4>5</vt:i4>
      </vt:variant>
      <vt:variant>
        <vt:lpwstr>http://www.aclu-sc.org/documents/view/47</vt:lpwstr>
      </vt:variant>
      <vt:variant>
        <vt:lpwstr/>
      </vt:variant>
      <vt:variant>
        <vt:i4>7405641</vt:i4>
      </vt:variant>
      <vt:variant>
        <vt:i4>15</vt:i4>
      </vt:variant>
      <vt:variant>
        <vt:i4>0</vt:i4>
      </vt:variant>
      <vt:variant>
        <vt:i4>5</vt:i4>
      </vt:variant>
      <vt:variant>
        <vt:lpwstr>http://www.boston.com/bostonglobe/editorial_opinion/oped/articles/2009/07/31/a_new_bright_line_rule_against_lying/</vt:lpwstr>
      </vt:variant>
      <vt:variant>
        <vt:lpwstr/>
      </vt:variant>
      <vt:variant>
        <vt:i4>6684750</vt:i4>
      </vt:variant>
      <vt:variant>
        <vt:i4>12</vt:i4>
      </vt:variant>
      <vt:variant>
        <vt:i4>0</vt:i4>
      </vt:variant>
      <vt:variant>
        <vt:i4>5</vt:i4>
      </vt:variant>
      <vt:variant>
        <vt:lpwstr>http://www.manhattan-institute.org/pdf/_atlantic_monthly-broken_windows.pdf</vt:lpwstr>
      </vt:variant>
      <vt:variant>
        <vt:lpwstr/>
      </vt:variant>
      <vt:variant>
        <vt:i4>3407939</vt:i4>
      </vt:variant>
      <vt:variant>
        <vt:i4>9</vt:i4>
      </vt:variant>
      <vt:variant>
        <vt:i4>0</vt:i4>
      </vt:variant>
      <vt:variant>
        <vt:i4>5</vt:i4>
      </vt:variant>
      <vt:variant>
        <vt:lpwstr>http://books.nap.edu/openbook.php?record_id=10419&amp;page=109</vt:lpwstr>
      </vt:variant>
      <vt:variant>
        <vt:lpwstr/>
      </vt:variant>
      <vt:variant>
        <vt:i4>327803</vt:i4>
      </vt:variant>
      <vt:variant>
        <vt:i4>6</vt:i4>
      </vt:variant>
      <vt:variant>
        <vt:i4>0</vt:i4>
      </vt:variant>
      <vt:variant>
        <vt:i4>5</vt:i4>
      </vt:variant>
      <vt:variant>
        <vt:lpwstr>http://books.nap.edu/openbook.php?record_id=9747&amp;page=107</vt:lpwstr>
      </vt:variant>
      <vt:variant>
        <vt:lpwstr/>
      </vt:variant>
      <vt:variant>
        <vt:i4>6422578</vt:i4>
      </vt:variant>
      <vt:variant>
        <vt:i4>3</vt:i4>
      </vt:variant>
      <vt:variant>
        <vt:i4>0</vt:i4>
      </vt:variant>
      <vt:variant>
        <vt:i4>5</vt:i4>
      </vt:variant>
      <vt:variant>
        <vt:lpwstr>http://www.theatlantic.com/doc/200807/memphis-crime</vt:lpwstr>
      </vt:variant>
      <vt:variant>
        <vt:lpwstr/>
      </vt:variant>
      <vt:variant>
        <vt:i4>1769542</vt:i4>
      </vt:variant>
      <vt:variant>
        <vt:i4>0</vt:i4>
      </vt:variant>
      <vt:variant>
        <vt:i4>0</vt:i4>
      </vt:variant>
      <vt:variant>
        <vt:i4>5</vt:i4>
      </vt:variant>
      <vt:variant>
        <vt:lpwstr>http://www.washingtonpost.com/wp-dyn/content/article/2009/07/26/AR2009072602347.html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University</dc:title>
  <dc:creator>Anthony A. Braga</dc:creator>
  <cp:lastModifiedBy>Brielle</cp:lastModifiedBy>
  <cp:revision>2</cp:revision>
  <dcterms:created xsi:type="dcterms:W3CDTF">2014-09-15T02:46:00Z</dcterms:created>
  <dcterms:modified xsi:type="dcterms:W3CDTF">2014-09-15T02:46:00Z</dcterms:modified>
</cp:coreProperties>
</file>