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5771" w14:textId="3E35E05A" w:rsidR="0015675C" w:rsidRDefault="0015675C" w:rsidP="009C4486">
      <w:pPr>
        <w:spacing w:line="480" w:lineRule="auto"/>
        <w:rPr>
          <w:b/>
          <w:bCs/>
          <w:sz w:val="28"/>
          <w:szCs w:val="28"/>
        </w:rPr>
      </w:pPr>
    </w:p>
    <w:p w14:paraId="33ECB244" w14:textId="616E5EB4" w:rsidR="009C4486" w:rsidRDefault="009C4486" w:rsidP="009C4486">
      <w:pPr>
        <w:spacing w:line="480" w:lineRule="auto"/>
        <w:rPr>
          <w:b/>
          <w:bCs/>
          <w:sz w:val="28"/>
          <w:szCs w:val="28"/>
        </w:rPr>
      </w:pPr>
    </w:p>
    <w:p w14:paraId="62341387" w14:textId="77777777" w:rsidR="00C2292F" w:rsidRDefault="00C2292F" w:rsidP="009C4486">
      <w:pPr>
        <w:spacing w:line="480" w:lineRule="auto"/>
        <w:rPr>
          <w:b/>
          <w:bCs/>
          <w:sz w:val="28"/>
          <w:szCs w:val="28"/>
        </w:rPr>
      </w:pPr>
    </w:p>
    <w:p w14:paraId="2CFC6FAD" w14:textId="77777777" w:rsidR="009C4486" w:rsidRPr="007555D9" w:rsidRDefault="009C4486" w:rsidP="009C4486">
      <w:pPr>
        <w:spacing w:line="480" w:lineRule="auto"/>
        <w:rPr>
          <w:b/>
          <w:bCs/>
          <w:sz w:val="32"/>
          <w:szCs w:val="32"/>
        </w:rPr>
      </w:pPr>
    </w:p>
    <w:p w14:paraId="4C0990E8" w14:textId="062CAD7C" w:rsidR="00BC4B5C" w:rsidRPr="007555D9" w:rsidRDefault="00563498" w:rsidP="00810722">
      <w:pPr>
        <w:spacing w:line="480" w:lineRule="auto"/>
        <w:jc w:val="center"/>
        <w:rPr>
          <w:b/>
          <w:bCs/>
          <w:sz w:val="32"/>
          <w:szCs w:val="32"/>
        </w:rPr>
      </w:pPr>
      <w:r>
        <w:rPr>
          <w:b/>
          <w:bCs/>
          <w:sz w:val="32"/>
          <w:szCs w:val="32"/>
        </w:rPr>
        <w:t>Conclusion: From the Micro to the Macro</w:t>
      </w:r>
    </w:p>
    <w:p w14:paraId="1D456B4B" w14:textId="0B31E142" w:rsidR="00810722" w:rsidRPr="007555D9" w:rsidRDefault="00810722" w:rsidP="00810722">
      <w:pPr>
        <w:spacing w:line="480" w:lineRule="auto"/>
        <w:jc w:val="center"/>
        <w:rPr>
          <w:b/>
          <w:bCs/>
          <w:sz w:val="32"/>
          <w:szCs w:val="32"/>
        </w:rPr>
      </w:pPr>
    </w:p>
    <w:p w14:paraId="139B5F9F" w14:textId="77777777" w:rsidR="00810722" w:rsidRDefault="00810722" w:rsidP="00810722">
      <w:pPr>
        <w:spacing w:line="480" w:lineRule="auto"/>
        <w:jc w:val="center"/>
        <w:rPr>
          <w:b/>
          <w:bCs/>
          <w:sz w:val="28"/>
          <w:szCs w:val="28"/>
        </w:rPr>
      </w:pPr>
    </w:p>
    <w:p w14:paraId="2F281FB7" w14:textId="40B68F0C" w:rsidR="00152520" w:rsidRDefault="00152520" w:rsidP="00CE7598">
      <w:pPr>
        <w:spacing w:line="480" w:lineRule="auto"/>
        <w:jc w:val="center"/>
        <w:rPr>
          <w:b/>
          <w:bCs/>
        </w:rPr>
      </w:pPr>
      <w:r w:rsidRPr="004E7DE9">
        <w:rPr>
          <w:b/>
          <w:bCs/>
        </w:rPr>
        <w:t xml:space="preserve">Daniel </w:t>
      </w:r>
      <w:proofErr w:type="spellStart"/>
      <w:r w:rsidRPr="004E7DE9">
        <w:rPr>
          <w:b/>
          <w:bCs/>
        </w:rPr>
        <w:t>Ziblatt</w:t>
      </w:r>
      <w:proofErr w:type="spellEnd"/>
      <w:r w:rsidR="000B2AE8" w:rsidRPr="004E7DE9">
        <w:rPr>
          <w:rStyle w:val="FootnoteReference"/>
          <w:b/>
          <w:bCs/>
        </w:rPr>
        <w:footnoteReference w:id="1"/>
      </w:r>
    </w:p>
    <w:p w14:paraId="369AA916" w14:textId="66556FC8" w:rsidR="0015675C" w:rsidRDefault="0015675C" w:rsidP="00CE7598">
      <w:pPr>
        <w:spacing w:line="480" w:lineRule="auto"/>
        <w:jc w:val="center"/>
        <w:rPr>
          <w:b/>
          <w:bCs/>
        </w:rPr>
      </w:pPr>
    </w:p>
    <w:p w14:paraId="76AE2DBC" w14:textId="3910801D" w:rsidR="0015675C" w:rsidRDefault="0015675C" w:rsidP="00CE7598">
      <w:pPr>
        <w:spacing w:line="480" w:lineRule="auto"/>
        <w:jc w:val="center"/>
        <w:rPr>
          <w:b/>
          <w:bCs/>
        </w:rPr>
      </w:pPr>
      <w:r>
        <w:rPr>
          <w:b/>
          <w:bCs/>
        </w:rPr>
        <w:t>December 10, 2020</w:t>
      </w:r>
    </w:p>
    <w:p w14:paraId="490FA051" w14:textId="77777777" w:rsidR="0015675C" w:rsidRPr="004E7DE9" w:rsidRDefault="0015675C" w:rsidP="00CE7598">
      <w:pPr>
        <w:spacing w:line="480" w:lineRule="auto"/>
        <w:jc w:val="center"/>
        <w:rPr>
          <w:b/>
          <w:bCs/>
        </w:rPr>
      </w:pPr>
    </w:p>
    <w:p w14:paraId="28DF8891" w14:textId="0235AD6B" w:rsidR="0015675C" w:rsidRDefault="0015675C">
      <w:r>
        <w:br w:type="page"/>
      </w:r>
    </w:p>
    <w:p w14:paraId="604A9771" w14:textId="77777777" w:rsidR="00152520" w:rsidRPr="00FC134E" w:rsidRDefault="00152520" w:rsidP="00CE7598">
      <w:pPr>
        <w:spacing w:line="480" w:lineRule="auto"/>
      </w:pPr>
    </w:p>
    <w:p w14:paraId="5D34568E" w14:textId="2E6ABFA5" w:rsidR="00152520" w:rsidRPr="00FC134E" w:rsidRDefault="009A43AF" w:rsidP="00CE7598">
      <w:pPr>
        <w:spacing w:line="480" w:lineRule="auto"/>
        <w:ind w:firstLine="720"/>
      </w:pPr>
      <w:r w:rsidRPr="00FC134E">
        <w:t xml:space="preserve">“Big structures, large processes, huge </w:t>
      </w:r>
      <w:proofErr w:type="gramStart"/>
      <w:r w:rsidRPr="00FC134E">
        <w:t>comparisons”---</w:t>
      </w:r>
      <w:proofErr w:type="gramEnd"/>
      <w:r w:rsidRPr="00FC134E">
        <w:t xml:space="preserve"> </w:t>
      </w:r>
      <w:r w:rsidR="00283BED" w:rsidRPr="00FC134E">
        <w:t>T</w:t>
      </w:r>
      <w:r w:rsidRPr="00FC134E">
        <w:t xml:space="preserve">his is the title of a 1984 book by the historical sociologist Charles Tilly that also describes one strand at the </w:t>
      </w:r>
      <w:r w:rsidR="00BC4B5C">
        <w:t>center of</w:t>
      </w:r>
      <w:r w:rsidRPr="00FC134E">
        <w:t xml:space="preserve"> modern </w:t>
      </w:r>
      <w:r w:rsidR="00152520" w:rsidRPr="00FC134E">
        <w:t>social science</w:t>
      </w:r>
      <w:r w:rsidRPr="00FC134E">
        <w:t xml:space="preserve"> </w:t>
      </w:r>
      <w:r w:rsidR="00FF2D06" w:rsidRPr="00FC134E">
        <w:t xml:space="preserve">as </w:t>
      </w:r>
      <w:r w:rsidRPr="00FC134E">
        <w:t>it existed in the postwar years</w:t>
      </w:r>
      <w:r w:rsidR="00FF2D06" w:rsidRPr="00FC134E">
        <w:t xml:space="preserve">. This tradition also </w:t>
      </w:r>
      <w:r w:rsidRPr="00FC134E">
        <w:t xml:space="preserve">characterized the work of </w:t>
      </w:r>
      <w:r w:rsidR="00FF2D06" w:rsidRPr="00FC134E">
        <w:t xml:space="preserve">the founders of my own field within political science, </w:t>
      </w:r>
      <w:r w:rsidR="00261CBE">
        <w:t>c</w:t>
      </w:r>
      <w:r w:rsidR="00152520" w:rsidRPr="00FC134E">
        <w:t>omparative politics</w:t>
      </w:r>
      <w:r w:rsidRPr="00FC134E">
        <w:t xml:space="preserve">.  The central aim of this </w:t>
      </w:r>
      <w:r w:rsidR="00664CA0" w:rsidRPr="00FC134E">
        <w:t xml:space="preserve">research tradition </w:t>
      </w:r>
      <w:r w:rsidR="007C71D3" w:rsidRPr="00FC134E">
        <w:t xml:space="preserve">is to </w:t>
      </w:r>
      <w:r w:rsidR="00152520" w:rsidRPr="00FC134E">
        <w:t>explain macro differences in the organization of</w:t>
      </w:r>
      <w:r w:rsidR="00FF2D06" w:rsidRPr="00FC134E">
        <w:t xml:space="preserve"> modern and modernizing</w:t>
      </w:r>
      <w:r w:rsidR="00152520" w:rsidRPr="00FC134E">
        <w:t xml:space="preserve"> societ</w:t>
      </w:r>
      <w:r w:rsidR="00CE7598" w:rsidRPr="00FC134E">
        <w:t>ies</w:t>
      </w:r>
      <w:r w:rsidR="00152520" w:rsidRPr="00FC134E">
        <w:t xml:space="preserve">.  </w:t>
      </w:r>
      <w:r w:rsidRPr="00FC134E">
        <w:rPr>
          <w:i/>
          <w:iCs/>
        </w:rPr>
        <w:t>N</w:t>
      </w:r>
      <w:r w:rsidR="00152520" w:rsidRPr="00FC134E">
        <w:rPr>
          <w:i/>
          <w:iCs/>
        </w:rPr>
        <w:t xml:space="preserve">ational </w:t>
      </w:r>
      <w:r w:rsidR="00152520" w:rsidRPr="00FC134E">
        <w:t>patterns of</w:t>
      </w:r>
      <w:r w:rsidR="00CE7598" w:rsidRPr="00FC134E">
        <w:t xml:space="preserve"> political outcomes </w:t>
      </w:r>
      <w:r w:rsidRPr="00FC134E">
        <w:t xml:space="preserve">were usually the topic of interest, </w:t>
      </w:r>
      <w:r w:rsidR="00FF2D06" w:rsidRPr="00FC134E">
        <w:t>including but not limited to big structures and huge processes like</w:t>
      </w:r>
      <w:r w:rsidR="00CE7598" w:rsidRPr="00FC134E">
        <w:t xml:space="preserve"> </w:t>
      </w:r>
      <w:r w:rsidR="00152520" w:rsidRPr="00FC134E">
        <w:t xml:space="preserve">state </w:t>
      </w:r>
      <w:r w:rsidR="00BC4B5C">
        <w:t xml:space="preserve">building, </w:t>
      </w:r>
      <w:r w:rsidR="00FF2D06" w:rsidRPr="00FC134E">
        <w:t>violent social</w:t>
      </w:r>
      <w:r w:rsidRPr="00FC134E">
        <w:t xml:space="preserve"> r</w:t>
      </w:r>
      <w:r w:rsidR="00152520" w:rsidRPr="00FC134E">
        <w:t>evolution</w:t>
      </w:r>
      <w:r w:rsidR="00B10D5C" w:rsidRPr="00FC134E">
        <w:t>s</w:t>
      </w:r>
      <w:r w:rsidR="00FF2D06" w:rsidRPr="00FC134E">
        <w:t xml:space="preserve">, </w:t>
      </w:r>
      <w:r w:rsidR="00152520" w:rsidRPr="00FC134E">
        <w:t>democra</w:t>
      </w:r>
      <w:r w:rsidRPr="00FC134E">
        <w:t>tization,</w:t>
      </w:r>
      <w:r w:rsidR="00152520" w:rsidRPr="00FC134E">
        <w:t xml:space="preserve"> economic development</w:t>
      </w:r>
      <w:r w:rsidR="00FF2D06" w:rsidRPr="00FC134E">
        <w:t>,</w:t>
      </w:r>
      <w:r w:rsidR="00CE7598" w:rsidRPr="00FC134E">
        <w:t xml:space="preserve"> and</w:t>
      </w:r>
      <w:r w:rsidR="00152520" w:rsidRPr="00FC134E">
        <w:t xml:space="preserve"> </w:t>
      </w:r>
      <w:r w:rsidR="00B10D5C" w:rsidRPr="00FC134E">
        <w:t xml:space="preserve">the emergence of </w:t>
      </w:r>
      <w:r w:rsidR="00CE7598" w:rsidRPr="00FC134E">
        <w:t xml:space="preserve">national political </w:t>
      </w:r>
      <w:r w:rsidR="00152520" w:rsidRPr="00FC134E">
        <w:t>party systems.</w:t>
      </w:r>
    </w:p>
    <w:p w14:paraId="6A4D9594" w14:textId="5046D968" w:rsidR="00CE7598" w:rsidRPr="00FC134E" w:rsidRDefault="009A43AF" w:rsidP="00CE7598">
      <w:pPr>
        <w:spacing w:line="480" w:lineRule="auto"/>
        <w:ind w:firstLine="720"/>
      </w:pPr>
      <w:r w:rsidRPr="00FC134E">
        <w:t xml:space="preserve">In this tradition, “big” outcomes were usually also thought to have “big” causes. This </w:t>
      </w:r>
      <w:r w:rsidR="00152520" w:rsidRPr="00FC134E">
        <w:t xml:space="preserve">macroscopic </w:t>
      </w:r>
      <w:r w:rsidR="00E64E61">
        <w:t xml:space="preserve">inclination </w:t>
      </w:r>
      <w:r w:rsidRPr="00FC134E">
        <w:t xml:space="preserve">sought to </w:t>
      </w:r>
      <w:r w:rsidR="00FF2D06" w:rsidRPr="00FC134E">
        <w:t>discern</w:t>
      </w:r>
      <w:r w:rsidRPr="00FC134E">
        <w:t xml:space="preserve"> the</w:t>
      </w:r>
      <w:r w:rsidR="00CE7598" w:rsidRPr="00FC134E">
        <w:t xml:space="preserve"> </w:t>
      </w:r>
      <w:r w:rsidR="00152520" w:rsidRPr="00FC134E">
        <w:t>structural and institutional drivers of</w:t>
      </w:r>
      <w:r w:rsidR="00732CAC">
        <w:t xml:space="preserve"> different features of modernity</w:t>
      </w:r>
      <w:r w:rsidR="00C60500" w:rsidRPr="00FC134E">
        <w:t>.</w:t>
      </w:r>
      <w:r w:rsidR="00152520" w:rsidRPr="00FC134E">
        <w:t xml:space="preserve">  </w:t>
      </w:r>
      <w:r w:rsidR="00664CA0" w:rsidRPr="00FC134E">
        <w:t>Different rates and patterns of</w:t>
      </w:r>
      <w:r w:rsidR="00545959" w:rsidRPr="00FC134E">
        <w:t xml:space="preserve"> economic development and breakthrough </w:t>
      </w:r>
      <w:r w:rsidRPr="00FC134E">
        <w:t>were</w:t>
      </w:r>
      <w:r w:rsidR="000B2AE8">
        <w:t xml:space="preserve"> thought</w:t>
      </w:r>
      <w:r w:rsidRPr="00FC134E">
        <w:t xml:space="preserve"> to have been</w:t>
      </w:r>
      <w:r w:rsidR="00152520" w:rsidRPr="00FC134E">
        <w:t xml:space="preserve"> </w:t>
      </w:r>
      <w:r w:rsidRPr="00FC134E">
        <w:t>prompted</w:t>
      </w:r>
      <w:r w:rsidR="00152520" w:rsidRPr="00FC134E">
        <w:t xml:space="preserve">, for example, </w:t>
      </w:r>
      <w:r w:rsidR="00B10D5C" w:rsidRPr="00FC134E">
        <w:t xml:space="preserve">by </w:t>
      </w:r>
      <w:r w:rsidR="00152520" w:rsidRPr="00FC134E">
        <w:t xml:space="preserve">the </w:t>
      </w:r>
      <w:r w:rsidR="006F29E6" w:rsidRPr="00FC134E">
        <w:t xml:space="preserve">national </w:t>
      </w:r>
      <w:r w:rsidR="00152520" w:rsidRPr="00FC134E">
        <w:t>timing of industrialization (</w:t>
      </w:r>
      <w:proofErr w:type="spellStart"/>
      <w:r w:rsidR="00152520" w:rsidRPr="00FC134E">
        <w:t>Gerschenkron</w:t>
      </w:r>
      <w:proofErr w:type="spellEnd"/>
      <w:r w:rsidR="00152520" w:rsidRPr="00FC134E">
        <w:t>, 196</w:t>
      </w:r>
      <w:r w:rsidR="004A6C1D">
        <w:t>2</w:t>
      </w:r>
      <w:r w:rsidR="00152520" w:rsidRPr="00FC134E">
        <w:t xml:space="preserve">).  The structure of party systems </w:t>
      </w:r>
      <w:r w:rsidR="00FF2D06" w:rsidRPr="00FC134E">
        <w:t>was rooted in</w:t>
      </w:r>
      <w:r w:rsidRPr="00FC134E">
        <w:t xml:space="preserve"> </w:t>
      </w:r>
      <w:r w:rsidR="00152520" w:rsidRPr="00FC134E">
        <w:t>underlying patterns of national societal cleavages (</w:t>
      </w:r>
      <w:proofErr w:type="spellStart"/>
      <w:r w:rsidR="00152520" w:rsidRPr="00FC134E">
        <w:t>Lipset</w:t>
      </w:r>
      <w:proofErr w:type="spellEnd"/>
      <w:r w:rsidR="00152520" w:rsidRPr="00FC134E">
        <w:t xml:space="preserve"> and </w:t>
      </w:r>
      <w:proofErr w:type="spellStart"/>
      <w:r w:rsidR="00152520" w:rsidRPr="00FC134E">
        <w:t>Rokkan</w:t>
      </w:r>
      <w:proofErr w:type="spellEnd"/>
      <w:r w:rsidR="00152520" w:rsidRPr="00FC134E">
        <w:t xml:space="preserve">, 1967). </w:t>
      </w:r>
      <w:proofErr w:type="gramStart"/>
      <w:r w:rsidR="00152520" w:rsidRPr="00FC134E">
        <w:t>And</w:t>
      </w:r>
      <w:r w:rsidR="00C60500" w:rsidRPr="00FC134E">
        <w:t>,</w:t>
      </w:r>
      <w:proofErr w:type="gramEnd"/>
      <w:r w:rsidR="00C60500" w:rsidRPr="00FC134E">
        <w:t xml:space="preserve"> paths of democratization </w:t>
      </w:r>
      <w:r w:rsidRPr="00FC134E">
        <w:t>were shaped by nationally distinctive</w:t>
      </w:r>
      <w:r w:rsidR="00CE7598" w:rsidRPr="00FC134E">
        <w:t xml:space="preserve"> </w:t>
      </w:r>
      <w:r w:rsidR="00545959" w:rsidRPr="00FC134E">
        <w:t xml:space="preserve">historical patterns of revolution and economic change (Moore, 1966).  </w:t>
      </w:r>
    </w:p>
    <w:p w14:paraId="7AC45CE0" w14:textId="1AD6A1BC" w:rsidR="00F1427D" w:rsidRPr="00FC134E" w:rsidRDefault="006F29E6" w:rsidP="00F1427D">
      <w:pPr>
        <w:spacing w:line="480" w:lineRule="auto"/>
        <w:ind w:firstLine="720"/>
      </w:pPr>
      <w:r w:rsidRPr="00FC134E">
        <w:t>Inspired by this</w:t>
      </w:r>
      <w:r w:rsidR="00545959" w:rsidRPr="00FC134E">
        <w:t xml:space="preserve"> founding generation of scholars, </w:t>
      </w:r>
      <w:r w:rsidR="00FF2D06" w:rsidRPr="00FC134E">
        <w:t xml:space="preserve">an enduring </w:t>
      </w:r>
      <w:r w:rsidR="009A43AF" w:rsidRPr="00FC134E">
        <w:t xml:space="preserve">mode of </w:t>
      </w:r>
      <w:r w:rsidR="00CE7598" w:rsidRPr="00FC134E">
        <w:t xml:space="preserve">research has </w:t>
      </w:r>
      <w:r w:rsidR="00545959" w:rsidRPr="00FC134E">
        <w:t xml:space="preserve">now </w:t>
      </w:r>
      <w:r w:rsidR="00CE7598" w:rsidRPr="00FC134E">
        <w:t xml:space="preserve">gone on to analyze </w:t>
      </w:r>
      <w:r w:rsidR="00545959" w:rsidRPr="00FC134E">
        <w:t xml:space="preserve">an even </w:t>
      </w:r>
      <w:r w:rsidR="00FF2D06" w:rsidRPr="00FC134E">
        <w:t>broader set</w:t>
      </w:r>
      <w:r w:rsidR="00545959" w:rsidRPr="00FC134E">
        <w:t xml:space="preserve"> of topics</w:t>
      </w:r>
      <w:r w:rsidRPr="00FC134E">
        <w:t xml:space="preserve">: </w:t>
      </w:r>
      <w:r w:rsidR="00545959" w:rsidRPr="00FC134E">
        <w:t>why welfare states look different among rich democracies (</w:t>
      </w:r>
      <w:proofErr w:type="spellStart"/>
      <w:r w:rsidR="00545959" w:rsidRPr="00FC134E">
        <w:t>Esping</w:t>
      </w:r>
      <w:proofErr w:type="spellEnd"/>
      <w:r w:rsidR="00545959" w:rsidRPr="00FC134E">
        <w:t xml:space="preserve">-Anderson, 1990); </w:t>
      </w:r>
      <w:r w:rsidRPr="00FC134E">
        <w:t xml:space="preserve">the sources of different national </w:t>
      </w:r>
      <w:r w:rsidR="00545959" w:rsidRPr="00FC134E">
        <w:t>varieties of capitalism (Hall and Soskice, 2001</w:t>
      </w:r>
      <w:r w:rsidRPr="00FC134E">
        <w:t>; Iversen and Soskice, 2018</w:t>
      </w:r>
      <w:r w:rsidR="00545959" w:rsidRPr="00FC134E">
        <w:t>)</w:t>
      </w:r>
      <w:r w:rsidRPr="00FC134E">
        <w:t xml:space="preserve">; different national responses to epidemics (Lieberman, 2009); </w:t>
      </w:r>
      <w:r w:rsidR="00732CAC">
        <w:t xml:space="preserve">and </w:t>
      </w:r>
      <w:r w:rsidRPr="00FC134E">
        <w:t xml:space="preserve">the robustness of authoritarianism (Slater, 2015; </w:t>
      </w:r>
      <w:proofErr w:type="spellStart"/>
      <w:r w:rsidRPr="00FC134E">
        <w:t>Levitsky</w:t>
      </w:r>
      <w:proofErr w:type="spellEnd"/>
      <w:r w:rsidRPr="00FC134E">
        <w:t xml:space="preserve"> and Way, 2015</w:t>
      </w:r>
      <w:r w:rsidR="00F1427D">
        <w:t>).</w:t>
      </w:r>
    </w:p>
    <w:p w14:paraId="4D804F94" w14:textId="6D23D2C3" w:rsidR="00545959" w:rsidRPr="00FC134E" w:rsidRDefault="00CF5706" w:rsidP="00CE7598">
      <w:pPr>
        <w:spacing w:line="480" w:lineRule="auto"/>
        <w:ind w:firstLine="720"/>
      </w:pPr>
      <w:r>
        <w:lastRenderedPageBreak/>
        <w:t>Building on the</w:t>
      </w:r>
      <w:r w:rsidR="00545959" w:rsidRPr="00FC134E">
        <w:t xml:space="preserve"> achievements of this research </w:t>
      </w:r>
      <w:r w:rsidR="006F29E6" w:rsidRPr="00FC134E">
        <w:t xml:space="preserve">tradition, </w:t>
      </w:r>
      <w:r w:rsidR="00CE7598" w:rsidRPr="00FC134E">
        <w:t>recent years have been marked</w:t>
      </w:r>
      <w:r w:rsidR="00E64E61">
        <w:t>, however,</w:t>
      </w:r>
      <w:r w:rsidR="00CE7598" w:rsidRPr="00FC134E">
        <w:t xml:space="preserve"> by a </w:t>
      </w:r>
      <w:r w:rsidR="006F29E6" w:rsidRPr="00FC134E">
        <w:t xml:space="preserve">move in the social sciences away from </w:t>
      </w:r>
      <w:r w:rsidR="00FF2D06" w:rsidRPr="00FC134E">
        <w:t xml:space="preserve">the “big, large, and huge” to </w:t>
      </w:r>
      <w:r w:rsidR="006F29E6" w:rsidRPr="00FC134E">
        <w:t xml:space="preserve">the </w:t>
      </w:r>
      <w:r w:rsidR="00FF2D06" w:rsidRPr="00FC134E">
        <w:t xml:space="preserve">“small, targeted, and focused.”  We might dub this </w:t>
      </w:r>
      <w:r w:rsidR="008B32D9">
        <w:t xml:space="preserve">as shift in the field from </w:t>
      </w:r>
      <w:r w:rsidR="006F29E6" w:rsidRPr="00FC134E">
        <w:t>“macro</w:t>
      </w:r>
      <w:r w:rsidR="00EF2B5C" w:rsidRPr="00FC134E">
        <w:t xml:space="preserve">” </w:t>
      </w:r>
      <w:r w:rsidR="008B32D9">
        <w:t xml:space="preserve">to </w:t>
      </w:r>
      <w:r w:rsidR="006F29E6" w:rsidRPr="00FC134E">
        <w:t>“micro”</w:t>
      </w:r>
      <w:r w:rsidR="00EF2B5C" w:rsidRPr="00FC134E">
        <w:t xml:space="preserve"> comparison</w:t>
      </w:r>
      <w:r w:rsidR="00B10D5C" w:rsidRPr="00FC134E">
        <w:t xml:space="preserve">. </w:t>
      </w:r>
      <w:r w:rsidR="00BC4B5C">
        <w:t xml:space="preserve"> </w:t>
      </w:r>
      <w:r w:rsidR="006F29E6" w:rsidRPr="00FC134E">
        <w:t>The impetus</w:t>
      </w:r>
      <w:r w:rsidR="00FF2D06" w:rsidRPr="00FC134E">
        <w:t xml:space="preserve"> for this </w:t>
      </w:r>
      <w:r w:rsidR="008B32D9">
        <w:t xml:space="preserve">move </w:t>
      </w:r>
      <w:r w:rsidR="006F29E6" w:rsidRPr="00FC134E">
        <w:t>is theoretical, empirical</w:t>
      </w:r>
      <w:r w:rsidR="00261CBE">
        <w:t>,</w:t>
      </w:r>
      <w:r w:rsidR="006F29E6" w:rsidRPr="00FC134E">
        <w:rPr>
          <w:i/>
          <w:iCs/>
        </w:rPr>
        <w:t xml:space="preserve"> and</w:t>
      </w:r>
      <w:r w:rsidR="006F29E6" w:rsidRPr="00FC134E">
        <w:t xml:space="preserve"> methodological. </w:t>
      </w:r>
      <w:r w:rsidR="00BC4B5C">
        <w:t>Theoretically, s</w:t>
      </w:r>
      <w:r w:rsidR="00FF2D06" w:rsidRPr="00FC134E">
        <w:t>cholars</w:t>
      </w:r>
      <w:r w:rsidR="006F29E6" w:rsidRPr="00FC134E">
        <w:t xml:space="preserve"> have </w:t>
      </w:r>
      <w:r w:rsidR="00EF2B5C" w:rsidRPr="00FC134E">
        <w:t xml:space="preserve">increasingly </w:t>
      </w:r>
      <w:r w:rsidR="006F29E6" w:rsidRPr="00FC134E">
        <w:t>argued</w:t>
      </w:r>
      <w:r w:rsidR="00BC4B5C">
        <w:t xml:space="preserve">, the study of the macro may miss what really matters.  </w:t>
      </w:r>
      <w:r w:rsidR="00E64E61">
        <w:t>Scholars</w:t>
      </w:r>
      <w:r w:rsidR="00BC4B5C">
        <w:t xml:space="preserve"> argue macro national</w:t>
      </w:r>
      <w:r w:rsidR="006F29E6" w:rsidRPr="00FC134E">
        <w:t xml:space="preserve"> outcomes need to be </w:t>
      </w:r>
      <w:r w:rsidR="00005721" w:rsidRPr="00FC134E">
        <w:t xml:space="preserve">disaggregated into </w:t>
      </w:r>
      <w:r w:rsidR="00EF2B5C" w:rsidRPr="00FC134E">
        <w:t xml:space="preserve">their </w:t>
      </w:r>
      <w:r w:rsidR="00005721" w:rsidRPr="00FC134E">
        <w:t>subnational components</w:t>
      </w:r>
      <w:r w:rsidR="00BC4B5C">
        <w:t xml:space="preserve"> </w:t>
      </w:r>
      <w:r w:rsidR="00005721" w:rsidRPr="00FC134E">
        <w:t xml:space="preserve">because sometimes national units of analysis may conceal important </w:t>
      </w:r>
      <w:r w:rsidR="000B2AE8">
        <w:t xml:space="preserve">subnational </w:t>
      </w:r>
      <w:r w:rsidR="00005721" w:rsidRPr="00FC134E">
        <w:t xml:space="preserve">sources of </w:t>
      </w:r>
      <w:r w:rsidR="00CA3259" w:rsidRPr="00FC134E">
        <w:t xml:space="preserve">variation.  </w:t>
      </w:r>
      <w:r w:rsidR="00BC4B5C">
        <w:t xml:space="preserve">To </w:t>
      </w:r>
      <w:r w:rsidR="00E64E61">
        <w:t>students</w:t>
      </w:r>
      <w:r w:rsidR="00BC4B5C">
        <w:t xml:space="preserve"> of authoritarianism, </w:t>
      </w:r>
      <w:r w:rsidR="00E64E61">
        <w:t xml:space="preserve">for example, </w:t>
      </w:r>
      <w:r w:rsidR="00BC4B5C">
        <w:t>s</w:t>
      </w:r>
      <w:r w:rsidR="00CA3259" w:rsidRPr="00FC134E">
        <w:t xml:space="preserve">ubnational authoritarian enclaves can persist in what appear to be otherwise democratic national political systems (Gibson, 2013; Mickey, 2015). </w:t>
      </w:r>
      <w:r w:rsidR="00EF2B5C" w:rsidRPr="00FC134E">
        <w:t>Subnational patterns of industrial organization may matter more than national patterns (</w:t>
      </w:r>
      <w:proofErr w:type="spellStart"/>
      <w:r w:rsidR="00EF2B5C" w:rsidRPr="00FC134E">
        <w:t>Herrigel</w:t>
      </w:r>
      <w:proofErr w:type="spellEnd"/>
      <w:r w:rsidR="00EF2B5C" w:rsidRPr="00FC134E">
        <w:t xml:space="preserve">, 1998). </w:t>
      </w:r>
      <w:r w:rsidR="00CA3259" w:rsidRPr="00FC134E">
        <w:t xml:space="preserve">Local patterns of social ties </w:t>
      </w:r>
      <w:r w:rsidR="00BC4B5C">
        <w:t xml:space="preserve">can </w:t>
      </w:r>
      <w:r w:rsidR="00CA3259" w:rsidRPr="00FC134E">
        <w:t xml:space="preserve">give rise to varying patterns of governance capacity </w:t>
      </w:r>
      <w:r w:rsidR="00B10D5C" w:rsidRPr="00FC134E">
        <w:t xml:space="preserve">that more directly affect the every-day lives of citizens </w:t>
      </w:r>
      <w:r w:rsidR="00CA3259" w:rsidRPr="00FC134E">
        <w:t>(Tsai</w:t>
      </w:r>
      <w:r w:rsidR="00FF2D06" w:rsidRPr="00FC134E">
        <w:t>, 2007</w:t>
      </w:r>
      <w:r w:rsidR="00CA3259" w:rsidRPr="00FC134E">
        <w:t xml:space="preserve">). </w:t>
      </w:r>
      <w:r w:rsidR="00261CBE">
        <w:t xml:space="preserve">Scholars of violence </w:t>
      </w:r>
      <w:r w:rsidR="004A6C1D">
        <w:t xml:space="preserve">have moved to the local, pointing to </w:t>
      </w:r>
      <w:r w:rsidR="00261CBE">
        <w:t xml:space="preserve">the pitfalls of relying on </w:t>
      </w:r>
      <w:proofErr w:type="spellStart"/>
      <w:r w:rsidR="00261CBE">
        <w:t>maco</w:t>
      </w:r>
      <w:proofErr w:type="spellEnd"/>
      <w:r w:rsidR="00261CBE">
        <w:t>-level indicators that “may aggregate local cleavages in misleading ways” (</w:t>
      </w:r>
      <w:proofErr w:type="spellStart"/>
      <w:r w:rsidR="00261CBE">
        <w:t>Kalyvas</w:t>
      </w:r>
      <w:proofErr w:type="spellEnd"/>
      <w:r w:rsidR="00261CBE">
        <w:t xml:space="preserve"> 2006, 370)</w:t>
      </w:r>
      <w:r w:rsidR="0083286A">
        <w:t>.</w:t>
      </w:r>
      <w:r w:rsidR="00261CBE">
        <w:t xml:space="preserve"> </w:t>
      </w:r>
      <w:r w:rsidR="00EF2B5C" w:rsidRPr="00FC134E">
        <w:t>And most recently,</w:t>
      </w:r>
      <w:r w:rsidR="00B10D5C" w:rsidRPr="00FC134E">
        <w:t xml:space="preserve"> even our current populist moment in the West has been understood through this lens: the political </w:t>
      </w:r>
      <w:r w:rsidR="00732CAC">
        <w:t>resentments that have</w:t>
      </w:r>
      <w:r w:rsidR="00B10D5C" w:rsidRPr="00FC134E">
        <w:t xml:space="preserve"> generated a decade of</w:t>
      </w:r>
      <w:r w:rsidR="00D7403A" w:rsidRPr="00FC134E">
        <w:t xml:space="preserve"> right</w:t>
      </w:r>
      <w:r w:rsidR="00BC4B5C">
        <w:t>-</w:t>
      </w:r>
      <w:r w:rsidR="00D7403A" w:rsidRPr="00FC134E">
        <w:t>wing populist backlash</w:t>
      </w:r>
      <w:r w:rsidR="00E64E61">
        <w:t xml:space="preserve"> </w:t>
      </w:r>
      <w:r w:rsidR="000B2AE8">
        <w:t>are</w:t>
      </w:r>
      <w:r w:rsidR="00B10D5C" w:rsidRPr="00FC134E">
        <w:t xml:space="preserve"> </w:t>
      </w:r>
      <w:r w:rsidR="00732CAC">
        <w:t xml:space="preserve">most usefully understood </w:t>
      </w:r>
      <w:r w:rsidR="00B10D5C" w:rsidRPr="00FC134E">
        <w:t xml:space="preserve">in </w:t>
      </w:r>
      <w:r w:rsidR="00732CAC">
        <w:t xml:space="preserve">their </w:t>
      </w:r>
      <w:r w:rsidR="00D7403A" w:rsidRPr="00FC134E">
        <w:t>specific, often rural</w:t>
      </w:r>
      <w:r w:rsidR="00E64E61">
        <w:t>,</w:t>
      </w:r>
      <w:r w:rsidR="00D7403A" w:rsidRPr="00FC134E">
        <w:t xml:space="preserve"> geographical </w:t>
      </w:r>
      <w:r w:rsidR="00B10D5C" w:rsidRPr="00FC134E">
        <w:t xml:space="preserve">milieus </w:t>
      </w:r>
      <w:r w:rsidR="00D7403A" w:rsidRPr="00FC134E">
        <w:t>(</w:t>
      </w:r>
      <w:r w:rsidR="00EF2B5C" w:rsidRPr="00FC134E">
        <w:t xml:space="preserve">Rodden, 2018; </w:t>
      </w:r>
      <w:r w:rsidR="0023144E">
        <w:t>C</w:t>
      </w:r>
      <w:r w:rsidR="00D7403A" w:rsidRPr="00FC134E">
        <w:t>ramer, 2</w:t>
      </w:r>
      <w:r w:rsidR="00FF2D06" w:rsidRPr="00FC134E">
        <w:t>01</w:t>
      </w:r>
      <w:r w:rsidR="00D7403A" w:rsidRPr="00FC134E">
        <w:t xml:space="preserve">6). </w:t>
      </w:r>
      <w:r>
        <w:t>Substantive</w:t>
      </w:r>
      <w:r w:rsidR="00CA3259" w:rsidRPr="00FC134E">
        <w:t xml:space="preserve"> outcomes exi</w:t>
      </w:r>
      <w:r w:rsidR="00D7403A" w:rsidRPr="00FC134E">
        <w:t xml:space="preserve">st at the local level that fly “beneath the radar” of </w:t>
      </w:r>
      <w:r w:rsidR="00EF2B5C" w:rsidRPr="00FC134E">
        <w:t xml:space="preserve">the </w:t>
      </w:r>
      <w:r w:rsidR="00D7403A" w:rsidRPr="00FC134E">
        <w:t xml:space="preserve">standard </w:t>
      </w:r>
      <w:r w:rsidR="00FF2D06" w:rsidRPr="00FC134E">
        <w:t>intellectual</w:t>
      </w:r>
      <w:r w:rsidR="00EF2B5C" w:rsidRPr="00FC134E">
        <w:t xml:space="preserve"> equipment offered</w:t>
      </w:r>
      <w:r w:rsidR="00FF2D06" w:rsidRPr="00FC134E">
        <w:t xml:space="preserve"> </w:t>
      </w:r>
      <w:r w:rsidR="00EF2B5C" w:rsidRPr="00FC134E">
        <w:t>by</w:t>
      </w:r>
      <w:r w:rsidR="00FF2D06" w:rsidRPr="00FC134E">
        <w:t xml:space="preserve"> </w:t>
      </w:r>
      <w:r w:rsidR="00B10D5C" w:rsidRPr="00FC134E">
        <w:t xml:space="preserve">Tilly’s </w:t>
      </w:r>
      <w:r w:rsidR="00FF2D06" w:rsidRPr="00FC134E">
        <w:t>“huge comparisons.”</w:t>
      </w:r>
    </w:p>
    <w:p w14:paraId="6DA22ECE" w14:textId="12597E06" w:rsidR="00CE7598" w:rsidRPr="00FC134E" w:rsidRDefault="00B10D5C" w:rsidP="00CE7598">
      <w:pPr>
        <w:spacing w:line="480" w:lineRule="auto"/>
        <w:ind w:firstLine="720"/>
      </w:pPr>
      <w:r w:rsidRPr="00FC134E">
        <w:t>There are also</w:t>
      </w:r>
      <w:r w:rsidR="0069710C" w:rsidRPr="00FC134E">
        <w:t xml:space="preserve"> </w:t>
      </w:r>
      <w:r w:rsidR="00D7403A" w:rsidRPr="00FC134E">
        <w:t>empirical and methodological reasons for the “micro” turn</w:t>
      </w:r>
      <w:r w:rsidRPr="00FC134E">
        <w:t xml:space="preserve"> in the social sciences</w:t>
      </w:r>
      <w:r w:rsidR="00D7403A" w:rsidRPr="00FC134E">
        <w:t xml:space="preserve">. </w:t>
      </w:r>
      <w:r w:rsidR="00CF5706">
        <w:t>The confluence</w:t>
      </w:r>
      <w:r w:rsidR="00732CAC">
        <w:t xml:space="preserve"> of the “Big Data” revolution and </w:t>
      </w:r>
      <w:r w:rsidR="000B2AE8">
        <w:t xml:space="preserve">increased emphasis on </w:t>
      </w:r>
      <w:r w:rsidR="00391209">
        <w:t xml:space="preserve">more </w:t>
      </w:r>
      <w:r w:rsidR="00CF5706">
        <w:t>rigorous</w:t>
      </w:r>
      <w:r w:rsidR="00732CAC">
        <w:t xml:space="preserve"> standard</w:t>
      </w:r>
      <w:r w:rsidR="000B2AE8">
        <w:t xml:space="preserve">s of causal inference in the </w:t>
      </w:r>
      <w:r w:rsidR="00732CAC">
        <w:t xml:space="preserve">social science </w:t>
      </w:r>
      <w:r w:rsidR="00E000EA" w:rsidRPr="00FC134E">
        <w:t>ha</w:t>
      </w:r>
      <w:r w:rsidR="00732CAC">
        <w:t>ve</w:t>
      </w:r>
      <w:r w:rsidR="00E000EA" w:rsidRPr="00FC134E">
        <w:t xml:space="preserve"> led scholars to </w:t>
      </w:r>
      <w:r w:rsidR="00391209">
        <w:t>seek out</w:t>
      </w:r>
      <w:r w:rsidR="00732CAC">
        <w:t xml:space="preserve"> </w:t>
      </w:r>
      <w:r w:rsidRPr="00FC134E">
        <w:t>treasure trove</w:t>
      </w:r>
      <w:r w:rsidR="00732CAC">
        <w:t>s</w:t>
      </w:r>
      <w:r w:rsidRPr="00FC134E">
        <w:t xml:space="preserve"> of </w:t>
      </w:r>
      <w:r w:rsidR="00732CAC">
        <w:t xml:space="preserve">disaggregated </w:t>
      </w:r>
      <w:r w:rsidRPr="00FC134E">
        <w:t xml:space="preserve">data </w:t>
      </w:r>
      <w:r w:rsidR="000B2AE8">
        <w:t>with which they can</w:t>
      </w:r>
      <w:r w:rsidRPr="00FC134E">
        <w:t xml:space="preserve"> </w:t>
      </w:r>
      <w:r w:rsidR="00E000EA" w:rsidRPr="00FC134E">
        <w:t>zoom in</w:t>
      </w:r>
      <w:r w:rsidR="00CE7598" w:rsidRPr="00FC134E">
        <w:t xml:space="preserve"> </w:t>
      </w:r>
      <w:r w:rsidR="00E000EA" w:rsidRPr="00FC134E">
        <w:t xml:space="preserve">from the macroscopic </w:t>
      </w:r>
      <w:r w:rsidR="003270F3" w:rsidRPr="00FC134E">
        <w:t xml:space="preserve">to the microscopic </w:t>
      </w:r>
      <w:r w:rsidRPr="00FC134E">
        <w:t xml:space="preserve">in </w:t>
      </w:r>
      <w:r w:rsidRPr="00FC134E">
        <w:lastRenderedPageBreak/>
        <w:t xml:space="preserve">order </w:t>
      </w:r>
      <w:r w:rsidR="00E000EA" w:rsidRPr="00FC134E">
        <w:t>to analyze how individuals</w:t>
      </w:r>
      <w:r w:rsidRPr="00FC134E">
        <w:t xml:space="preserve"> and groups</w:t>
      </w:r>
      <w:r w:rsidR="00E000EA" w:rsidRPr="00FC134E">
        <w:t xml:space="preserve"> behave</w:t>
      </w:r>
      <w:r w:rsidR="005E7196">
        <w:t xml:space="preserve">. </w:t>
      </w:r>
      <w:r w:rsidR="003270F3" w:rsidRPr="00FC134E">
        <w:t xml:space="preserve">Whether one is analyzing </w:t>
      </w:r>
      <w:r w:rsidR="00CE7598" w:rsidRPr="00FC134E">
        <w:t xml:space="preserve">determinants of politicians’ behavior in parliaments, combatants in civil wars, or </w:t>
      </w:r>
      <w:r w:rsidR="00CF5706">
        <w:t xml:space="preserve">economic </w:t>
      </w:r>
      <w:r w:rsidR="00CE7598" w:rsidRPr="00FC134E">
        <w:t xml:space="preserve">entrepreneurs in informal black markets, </w:t>
      </w:r>
      <w:r w:rsidRPr="00FC134E">
        <w:t>the d</w:t>
      </w:r>
      <w:r w:rsidR="00CE7598" w:rsidRPr="00FC134E">
        <w:t xml:space="preserve">isaggregation </w:t>
      </w:r>
      <w:r w:rsidR="00EF2B5C" w:rsidRPr="00FC134E">
        <w:t xml:space="preserve">of “big” processes into </w:t>
      </w:r>
      <w:r w:rsidR="005E7196">
        <w:t>“</w:t>
      </w:r>
      <w:r w:rsidR="00EF2B5C" w:rsidRPr="00FC134E">
        <w:t>small</w:t>
      </w:r>
      <w:r w:rsidR="005E7196">
        <w:t xml:space="preserve">” </w:t>
      </w:r>
      <w:r w:rsidR="00EF2B5C" w:rsidRPr="00FC134E">
        <w:t xml:space="preserve">ones </w:t>
      </w:r>
      <w:r w:rsidR="00CE7598" w:rsidRPr="00FC134E">
        <w:t xml:space="preserve">creates more </w:t>
      </w:r>
      <w:r w:rsidR="00261CBE">
        <w:t>observations</w:t>
      </w:r>
      <w:r w:rsidR="00732CAC">
        <w:t xml:space="preserve"> and </w:t>
      </w:r>
      <w:r w:rsidR="00CE7598" w:rsidRPr="00FC134E">
        <w:t xml:space="preserve">allows for a </w:t>
      </w:r>
      <w:r w:rsidR="00EF2B5C" w:rsidRPr="00FC134E">
        <w:t xml:space="preserve">more systematic </w:t>
      </w:r>
      <w:r w:rsidR="00CE7598" w:rsidRPr="00FC134E">
        <w:t xml:space="preserve">probing of hypotheses with </w:t>
      </w:r>
      <w:r w:rsidR="00EF2B5C" w:rsidRPr="00FC134E">
        <w:t xml:space="preserve">fine-grained </w:t>
      </w:r>
      <w:r w:rsidR="00CE7598" w:rsidRPr="00FC134E">
        <w:t xml:space="preserve">data.  The </w:t>
      </w:r>
      <w:r w:rsidR="00EF2B5C" w:rsidRPr="00FC134E">
        <w:t>result has been a transformation</w:t>
      </w:r>
      <w:r w:rsidR="00391209">
        <w:t xml:space="preserve"> in the practice of social science</w:t>
      </w:r>
      <w:r w:rsidR="00E64E61">
        <w:t xml:space="preserve"> itself</w:t>
      </w:r>
      <w:r w:rsidR="00CF5706">
        <w:t xml:space="preserve">. In fact, </w:t>
      </w:r>
      <w:r w:rsidR="00CF5706" w:rsidRPr="00ED412C">
        <w:t>a</w:t>
      </w:r>
      <w:r w:rsidR="005E7196" w:rsidRPr="00ED412C">
        <w:t xml:space="preserve"> </w:t>
      </w:r>
      <w:r w:rsidR="00E64E61">
        <w:t xml:space="preserve">stark </w:t>
      </w:r>
      <w:r w:rsidR="005E7196" w:rsidRPr="00ED412C">
        <w:t xml:space="preserve">generational gap </w:t>
      </w:r>
      <w:r w:rsidR="00E64E61">
        <w:t xml:space="preserve">now </w:t>
      </w:r>
      <w:r w:rsidR="005E7196" w:rsidRPr="00ED412C">
        <w:t xml:space="preserve">exists between older scholars who </w:t>
      </w:r>
      <w:r w:rsidR="00E64E61">
        <w:t xml:space="preserve">continue to </w:t>
      </w:r>
      <w:r w:rsidR="005E7196" w:rsidRPr="00ED412C">
        <w:t xml:space="preserve">admire the sweeping narratives </w:t>
      </w:r>
      <w:r w:rsidR="00CF5706" w:rsidRPr="00ED412C">
        <w:t>offered in “</w:t>
      </w:r>
      <w:r w:rsidR="005E7196" w:rsidRPr="00ED412C">
        <w:t>big books</w:t>
      </w:r>
      <w:r w:rsidR="00CF5706" w:rsidRPr="00ED412C">
        <w:t>”</w:t>
      </w:r>
      <w:r w:rsidR="005E7196" w:rsidRPr="00ED412C">
        <w:t xml:space="preserve"> and younger scholars who strive above all to craft short, but data-intensive articles that meet </w:t>
      </w:r>
      <w:r w:rsidR="00F1427D" w:rsidRPr="00ED412C">
        <w:t xml:space="preserve">demanding </w:t>
      </w:r>
      <w:r w:rsidR="005E7196" w:rsidRPr="00ED412C">
        <w:t>standards of causal inference in social science journals</w:t>
      </w:r>
    </w:p>
    <w:p w14:paraId="0906E253" w14:textId="68252CD8" w:rsidR="002A524D" w:rsidRPr="008B32D9" w:rsidRDefault="002A524D" w:rsidP="00C2292F">
      <w:pPr>
        <w:spacing w:line="480" w:lineRule="auto"/>
        <w:jc w:val="center"/>
        <w:rPr>
          <w:b/>
          <w:bCs/>
        </w:rPr>
      </w:pPr>
    </w:p>
    <w:p w14:paraId="75363820" w14:textId="12202DDF" w:rsidR="002A524D" w:rsidRPr="008B32D9" w:rsidRDefault="002A524D" w:rsidP="00C2292F">
      <w:pPr>
        <w:spacing w:line="480" w:lineRule="auto"/>
        <w:jc w:val="center"/>
        <w:rPr>
          <w:b/>
          <w:bCs/>
        </w:rPr>
      </w:pPr>
      <w:r w:rsidRPr="008B32D9">
        <w:rPr>
          <w:b/>
          <w:bCs/>
        </w:rPr>
        <w:t>The Study of the Holocaust</w:t>
      </w:r>
    </w:p>
    <w:p w14:paraId="1B3886D0" w14:textId="70F9133D" w:rsidR="002A524D" w:rsidRPr="00FC134E" w:rsidRDefault="002A524D" w:rsidP="00567A25">
      <w:pPr>
        <w:spacing w:line="480" w:lineRule="auto"/>
        <w:ind w:firstLine="720"/>
      </w:pPr>
      <w:r w:rsidRPr="00FC134E">
        <w:t xml:space="preserve">The study of the Holocaust, though often isolated from the broader trends of contemporary social science (See Kopstein et al., this volume) </w:t>
      </w:r>
      <w:r w:rsidR="00CE7598" w:rsidRPr="00FC134E">
        <w:t xml:space="preserve">has in fact </w:t>
      </w:r>
      <w:r w:rsidRPr="00FC134E">
        <w:t>parallel</w:t>
      </w:r>
      <w:r w:rsidR="00CE7598" w:rsidRPr="00FC134E">
        <w:t>ed</w:t>
      </w:r>
      <w:r w:rsidRPr="00FC134E">
        <w:t xml:space="preserve"> these </w:t>
      </w:r>
      <w:r w:rsidR="00CE7598" w:rsidRPr="00FC134E">
        <w:t xml:space="preserve">broader </w:t>
      </w:r>
      <w:r w:rsidRPr="00FC134E">
        <w:t>trends. Early wor</w:t>
      </w:r>
      <w:r w:rsidR="00FC134E" w:rsidRPr="00FC134E">
        <w:t xml:space="preserve">k, </w:t>
      </w:r>
      <w:r w:rsidR="00C2292F">
        <w:t xml:space="preserve">as the editors make clear </w:t>
      </w:r>
      <w:r w:rsidR="00732CAC">
        <w:t>in their introduction</w:t>
      </w:r>
      <w:r w:rsidR="00FC134E" w:rsidRPr="00FC134E">
        <w:t xml:space="preserve">, </w:t>
      </w:r>
      <w:r w:rsidRPr="00FC134E">
        <w:t>asked</w:t>
      </w:r>
      <w:r w:rsidR="00CE7598" w:rsidRPr="00FC134E">
        <w:t xml:space="preserve"> </w:t>
      </w:r>
      <w:r w:rsidR="00E64E61">
        <w:t>big</w:t>
      </w:r>
      <w:r w:rsidRPr="00FC134E">
        <w:t xml:space="preserve"> question</w:t>
      </w:r>
      <w:r w:rsidR="00B10D5C" w:rsidRPr="00FC134E">
        <w:t>s such as:</w:t>
      </w:r>
      <w:r w:rsidR="00CE7598" w:rsidRPr="00FC134E">
        <w:t xml:space="preserve"> was the Holocaust a logical outgrowth of modernity, or fundamentally opposed to it?</w:t>
      </w:r>
      <w:r w:rsidR="00732CAC">
        <w:t xml:space="preserve"> And, </w:t>
      </w:r>
      <w:r w:rsidR="00FC134E" w:rsidRPr="00FC134E">
        <w:t xml:space="preserve">as historians, rather than social scientists, took on the challenge of explaining the Holocaust, </w:t>
      </w:r>
      <w:r w:rsidR="00391209">
        <w:t>an early</w:t>
      </w:r>
      <w:r w:rsidR="00FC134E" w:rsidRPr="00FC134E">
        <w:t xml:space="preserve"> </w:t>
      </w:r>
      <w:r w:rsidR="00B002C1">
        <w:t>framing of the study of the</w:t>
      </w:r>
      <w:r w:rsidR="00B10D5C" w:rsidRPr="00FC134E">
        <w:t xml:space="preserve"> Holocaust </w:t>
      </w:r>
      <w:r w:rsidR="00FC134E" w:rsidRPr="00FC134E">
        <w:t>took hold.  It was</w:t>
      </w:r>
      <w:r w:rsidR="00912097">
        <w:t xml:space="preserve"> presumed to be a single event</w:t>
      </w:r>
      <w:r w:rsidR="00CF5706">
        <w:t xml:space="preserve"> that flowed from </w:t>
      </w:r>
      <w:r w:rsidR="00B10D5C" w:rsidRPr="00FC134E">
        <w:t>Germany’s Final solution</w:t>
      </w:r>
      <w:r w:rsidR="00CF5706">
        <w:t xml:space="preserve"> designed at the</w:t>
      </w:r>
      <w:r w:rsidR="005E7196">
        <w:t xml:space="preserve"> Wannsee Conference in</w:t>
      </w:r>
      <w:r w:rsidR="00B10D5C" w:rsidRPr="00FC134E">
        <w:t xml:space="preserve"> Berlin in January 1942 </w:t>
      </w:r>
      <w:r w:rsidR="00CF5706">
        <w:t>and implemented by the center</w:t>
      </w:r>
      <w:r w:rsidR="00E64E61">
        <w:t xml:space="preserve"> </w:t>
      </w:r>
      <w:r w:rsidR="00CF5706">
        <w:t>over the course of</w:t>
      </w:r>
      <w:r w:rsidR="00B10D5C" w:rsidRPr="00FC134E">
        <w:t xml:space="preserve"> </w:t>
      </w:r>
      <w:r w:rsidR="00912097">
        <w:t>the Second World War.</w:t>
      </w:r>
      <w:r w:rsidR="00FC134E" w:rsidRPr="00FC134E">
        <w:t xml:space="preserve"> </w:t>
      </w:r>
    </w:p>
    <w:p w14:paraId="00870E23" w14:textId="51E95A08" w:rsidR="002A524D" w:rsidRPr="00FC134E" w:rsidRDefault="00B42B00" w:rsidP="00CE7598">
      <w:pPr>
        <w:spacing w:line="480" w:lineRule="auto"/>
      </w:pPr>
      <w:r w:rsidRPr="00FC134E">
        <w:tab/>
      </w:r>
      <w:r w:rsidR="00CF5706">
        <w:t>Recently, historians have pushed back against this narrative with more fine-grained attention to local and decentered unfolding of events (</w:t>
      </w:r>
      <w:r w:rsidR="00FE10BF">
        <w:t>Gross, 2001;</w:t>
      </w:r>
      <w:r w:rsidR="00261CBE">
        <w:t xml:space="preserve"> </w:t>
      </w:r>
      <w:proofErr w:type="spellStart"/>
      <w:r w:rsidR="00261CBE">
        <w:t>Bartov</w:t>
      </w:r>
      <w:proofErr w:type="spellEnd"/>
      <w:r w:rsidR="00261CBE">
        <w:t xml:space="preserve"> 2018</w:t>
      </w:r>
      <w:proofErr w:type="gramStart"/>
      <w:r w:rsidR="00261CBE">
        <w:t>)</w:t>
      </w:r>
      <w:r w:rsidR="00CF5706">
        <w:t xml:space="preserve">  </w:t>
      </w:r>
      <w:r w:rsidRPr="00FC134E">
        <w:t>With</w:t>
      </w:r>
      <w:proofErr w:type="gramEnd"/>
      <w:r w:rsidRPr="00FC134E">
        <w:t xml:space="preserve"> this volume, Kopstein et al. </w:t>
      </w:r>
      <w:r w:rsidR="00391209">
        <w:t xml:space="preserve">provide a forum to allow social scientists to </w:t>
      </w:r>
      <w:r w:rsidR="00CF5706">
        <w:t xml:space="preserve">join the </w:t>
      </w:r>
      <w:r w:rsidR="00261CBE">
        <w:t>conversation</w:t>
      </w:r>
      <w:r w:rsidR="00CF5706">
        <w:t xml:space="preserve">.  </w:t>
      </w:r>
      <w:r w:rsidR="00391209">
        <w:t xml:space="preserve">This happens at </w:t>
      </w:r>
      <w:r w:rsidR="00FC134E">
        <w:t xml:space="preserve">moment when </w:t>
      </w:r>
      <w:r w:rsidR="00CF5706">
        <w:t>not only</w:t>
      </w:r>
      <w:r w:rsidR="00B002C1">
        <w:t xml:space="preserve"> </w:t>
      </w:r>
      <w:proofErr w:type="gramStart"/>
      <w:r w:rsidR="00B002C1">
        <w:t>historians</w:t>
      </w:r>
      <w:proofErr w:type="gramEnd"/>
      <w:r w:rsidR="00B002C1">
        <w:t xml:space="preserve"> </w:t>
      </w:r>
      <w:r w:rsidR="00CF5706">
        <w:t xml:space="preserve">but also </w:t>
      </w:r>
      <w:r w:rsidR="00FC134E">
        <w:t xml:space="preserve">social scientists have </w:t>
      </w:r>
      <w:r w:rsidR="00391209">
        <w:t xml:space="preserve">now </w:t>
      </w:r>
      <w:r w:rsidR="00FC134E">
        <w:t xml:space="preserve">moved to the </w:t>
      </w:r>
      <w:r w:rsidR="00FC134E">
        <w:lastRenderedPageBreak/>
        <w:t xml:space="preserve">micro.  </w:t>
      </w:r>
      <w:r w:rsidR="00E64E61">
        <w:t>At the core of this intellectual convergence is the proposition that</w:t>
      </w:r>
      <w:r w:rsidR="00CF5706">
        <w:t xml:space="preserve"> </w:t>
      </w:r>
      <w:r w:rsidRPr="00FC134E">
        <w:t xml:space="preserve">the Holocaust is not simply </w:t>
      </w:r>
      <w:r w:rsidR="00567A25" w:rsidRPr="00FC134E">
        <w:t xml:space="preserve">to be </w:t>
      </w:r>
      <w:r w:rsidRPr="00FC134E">
        <w:t xml:space="preserve">thought of as a single “case” or </w:t>
      </w:r>
      <w:r w:rsidR="00391209">
        <w:t xml:space="preserve">singular </w:t>
      </w:r>
      <w:r w:rsidRPr="00FC134E">
        <w:t xml:space="preserve">event” that occurred between 1933 and 1945 directed by the hierarchical German </w:t>
      </w:r>
      <w:r w:rsidR="00567A25" w:rsidRPr="00FC134E">
        <w:t xml:space="preserve">Nazi </w:t>
      </w:r>
      <w:r w:rsidRPr="00FC134E">
        <w:t xml:space="preserve">war-machine. Instead, King (this volume) and the other authors </w:t>
      </w:r>
      <w:r w:rsidR="00E64E61">
        <w:t xml:space="preserve">suggest </w:t>
      </w:r>
      <w:r w:rsidR="00567A25" w:rsidRPr="00FC134E">
        <w:t xml:space="preserve">the Holocaust </w:t>
      </w:r>
      <w:r w:rsidR="00FC134E">
        <w:t>should be</w:t>
      </w:r>
      <w:r w:rsidR="00567A25" w:rsidRPr="00FC134E">
        <w:t xml:space="preserve"> conceived of as a</w:t>
      </w:r>
      <w:r w:rsidRPr="00FC134E">
        <w:t xml:space="preserve"> </w:t>
      </w:r>
      <w:r w:rsidR="00CF5706">
        <w:t xml:space="preserve">process </w:t>
      </w:r>
      <w:r w:rsidRPr="00FC134E">
        <w:t>of</w:t>
      </w:r>
      <w:r w:rsidRPr="00FC134E">
        <w:rPr>
          <w:i/>
          <w:iCs/>
        </w:rPr>
        <w:t xml:space="preserve"> </w:t>
      </w:r>
      <w:r w:rsidRPr="00FC134E">
        <w:t xml:space="preserve">1) </w:t>
      </w:r>
      <w:r w:rsidRPr="00FC134E">
        <w:rPr>
          <w:i/>
          <w:iCs/>
        </w:rPr>
        <w:t>disparate events</w:t>
      </w:r>
      <w:r w:rsidRPr="00FC134E">
        <w:t>—mass killings, pogroms, forced migration, resistance, and survival</w:t>
      </w:r>
      <w:r w:rsidR="00FC134E">
        <w:t xml:space="preserve">; in which </w:t>
      </w:r>
      <w:r w:rsidRPr="00FC134E">
        <w:t xml:space="preserve">2) </w:t>
      </w:r>
      <w:r w:rsidRPr="00FC134E">
        <w:rPr>
          <w:i/>
          <w:iCs/>
        </w:rPr>
        <w:t>multiple types of actors</w:t>
      </w:r>
      <w:r w:rsidRPr="00FC134E">
        <w:t>—perpetrators, victims, and bystanders</w:t>
      </w:r>
      <w:r w:rsidR="00FC134E">
        <w:t xml:space="preserve">—participated; all in </w:t>
      </w:r>
      <w:r w:rsidRPr="00FC134E">
        <w:t xml:space="preserve">3) </w:t>
      </w:r>
      <w:r w:rsidRPr="005E7196">
        <w:rPr>
          <w:i/>
          <w:iCs/>
        </w:rPr>
        <w:t xml:space="preserve">multiple </w:t>
      </w:r>
      <w:r w:rsidRPr="00FC134E">
        <w:rPr>
          <w:i/>
          <w:iCs/>
        </w:rPr>
        <w:t>locations</w:t>
      </w:r>
      <w:r w:rsidRPr="00FC134E">
        <w:t>—</w:t>
      </w:r>
      <w:r w:rsidR="00CF5706">
        <w:t>far from Berlin</w:t>
      </w:r>
      <w:r w:rsidR="00391209">
        <w:t xml:space="preserve">, </w:t>
      </w:r>
      <w:r w:rsidR="00CF5706">
        <w:t xml:space="preserve">and </w:t>
      </w:r>
      <w:r w:rsidRPr="00FC134E">
        <w:t>outside of German</w:t>
      </w:r>
      <w:r w:rsidR="00FC134E">
        <w:t>-directed</w:t>
      </w:r>
      <w:r w:rsidRPr="00FC134E">
        <w:t xml:space="preserve"> concentration camps</w:t>
      </w:r>
      <w:r w:rsidR="00391209">
        <w:t>,</w:t>
      </w:r>
      <w:r w:rsidR="00E64E61">
        <w:t xml:space="preserve"> and </w:t>
      </w:r>
      <w:r w:rsidR="00CF5706">
        <w:t>instead s</w:t>
      </w:r>
      <w:r w:rsidR="00567A25" w:rsidRPr="00FC134E">
        <w:t xml:space="preserve">pread across </w:t>
      </w:r>
      <w:r w:rsidR="005E7196">
        <w:t xml:space="preserve">the diverse landscape of </w:t>
      </w:r>
      <w:r w:rsidR="00CF5706">
        <w:t>both urban and rural</w:t>
      </w:r>
      <w:r w:rsidR="00B002C1">
        <w:t xml:space="preserve"> communities </w:t>
      </w:r>
      <w:r w:rsidR="005E7196">
        <w:t xml:space="preserve">in </w:t>
      </w:r>
      <w:r w:rsidR="00B002C1">
        <w:t>central and eastern Europe.</w:t>
      </w:r>
      <w:r w:rsidRPr="00FC134E">
        <w:t xml:space="preserve">  </w:t>
      </w:r>
    </w:p>
    <w:p w14:paraId="4FDA4074" w14:textId="024E8852" w:rsidR="00912097" w:rsidRDefault="00B42B00" w:rsidP="003802C6">
      <w:pPr>
        <w:spacing w:line="480" w:lineRule="auto"/>
      </w:pPr>
      <w:r w:rsidRPr="00FC134E">
        <w:tab/>
      </w:r>
      <w:r w:rsidR="00732CAC">
        <w:t xml:space="preserve">Disaggregating and decentering the analysis in this way generates a </w:t>
      </w:r>
      <w:r w:rsidR="00391209">
        <w:t xml:space="preserve">powerful </w:t>
      </w:r>
      <w:r w:rsidR="00732CAC">
        <w:t xml:space="preserve">close-up view that understands the Holocaust in its local contexts.  </w:t>
      </w:r>
      <w:r w:rsidR="003802C6">
        <w:t xml:space="preserve">Consider </w:t>
      </w:r>
      <w:r w:rsidR="00732CAC">
        <w:t xml:space="preserve">Daniel Solomon’s (this volume) analysis of the pogrom violence of November 1938’s </w:t>
      </w:r>
      <w:r w:rsidR="00732CAC" w:rsidRPr="00732CAC">
        <w:rPr>
          <w:i/>
          <w:iCs/>
        </w:rPr>
        <w:t>Kristallnacht</w:t>
      </w:r>
      <w:r w:rsidR="003802C6">
        <w:t>, which sy</w:t>
      </w:r>
      <w:r w:rsidR="00732CAC">
        <w:t xml:space="preserve">stematically </w:t>
      </w:r>
      <w:r w:rsidR="001C1E32">
        <w:t>analyzes</w:t>
      </w:r>
      <w:r w:rsidR="003802C6">
        <w:t xml:space="preserve"> </w:t>
      </w:r>
      <w:r w:rsidR="001C1E32">
        <w:t>a dataset of</w:t>
      </w:r>
      <w:r w:rsidR="00912097">
        <w:t xml:space="preserve"> 1,000 synagogues across Germany to try discern which were attacked and which were not</w:t>
      </w:r>
      <w:r w:rsidR="003802C6">
        <w:t>. He</w:t>
      </w:r>
      <w:r w:rsidR="00912097">
        <w:t xml:space="preserve"> concludes that it is where attacks were most likely and </w:t>
      </w:r>
      <w:r w:rsidR="005E7196">
        <w:t xml:space="preserve">most </w:t>
      </w:r>
      <w:r w:rsidR="00912097">
        <w:t xml:space="preserve">severe </w:t>
      </w:r>
      <w:r w:rsidR="001C1E32">
        <w:t xml:space="preserve">in cities </w:t>
      </w:r>
      <w:r w:rsidR="00912097">
        <w:t xml:space="preserve">where the Jewish population was largest and where </w:t>
      </w:r>
      <w:r w:rsidR="001C1E32">
        <w:t xml:space="preserve">the </w:t>
      </w:r>
      <w:r w:rsidR="00912097">
        <w:t xml:space="preserve">Communist Party was strongest, suggesting, in Solomon’s view, the symbolic motivations of the attacks—perhaps prompted by an effort to assault Jews where they were most prominent and where the political opponents of pogroms were most electorally successful. </w:t>
      </w:r>
      <w:r w:rsidR="001C1E32">
        <w:t>In short, characteristics of l</w:t>
      </w:r>
      <w:r w:rsidR="00912097">
        <w:t>ocal milieu and social ties explains the unfolding assault.</w:t>
      </w:r>
    </w:p>
    <w:p w14:paraId="21AE8464" w14:textId="28E8B08A" w:rsidR="00912097" w:rsidRDefault="00912097" w:rsidP="00732CAC">
      <w:pPr>
        <w:spacing w:line="480" w:lineRule="auto"/>
      </w:pPr>
      <w:r>
        <w:tab/>
        <w:t xml:space="preserve">Similarly, </w:t>
      </w:r>
      <w:r w:rsidR="001C1E32">
        <w:t xml:space="preserve">in his study of three cities in eastern Europe (Minsk, </w:t>
      </w:r>
      <w:r w:rsidR="0083286A">
        <w:t>C</w:t>
      </w:r>
      <w:r w:rsidR="001C1E32">
        <w:t>ra</w:t>
      </w:r>
      <w:r w:rsidR="0083286A">
        <w:t>c</w:t>
      </w:r>
      <w:r w:rsidR="001C1E32">
        <w:t xml:space="preserve">ow, and Bialystok), </w:t>
      </w:r>
      <w:proofErr w:type="spellStart"/>
      <w:r>
        <w:t>Evgeny</w:t>
      </w:r>
      <w:proofErr w:type="spellEnd"/>
      <w:r>
        <w:t xml:space="preserve"> Finkel finds substantial cross-city variation in how the Jewish community responded to </w:t>
      </w:r>
      <w:r w:rsidR="00E167BE">
        <w:t xml:space="preserve">ghettoization and the </w:t>
      </w:r>
      <w:r>
        <w:t>Nazi occupations</w:t>
      </w:r>
      <w:r w:rsidR="001C1E32">
        <w:t xml:space="preserve">. </w:t>
      </w:r>
      <w:r>
        <w:t xml:space="preserve">Whether Jews resisted or adopted other strategies (evasion, coped, or cooperated) vis-à-vis Nazi rule hinged, according to Finkel on the </w:t>
      </w:r>
      <w:r w:rsidR="001C1E32">
        <w:t xml:space="preserve">history </w:t>
      </w:r>
      <w:r w:rsidR="005E7196">
        <w:t xml:space="preserve">of </w:t>
      </w:r>
      <w:r w:rsidR="001C1E32">
        <w:t xml:space="preserve">Jewish relations with state authorities </w:t>
      </w:r>
      <w:r w:rsidR="00E167BE">
        <w:t xml:space="preserve">and local communities </w:t>
      </w:r>
      <w:r w:rsidR="001C1E32">
        <w:t xml:space="preserve">in the </w:t>
      </w:r>
      <w:proofErr w:type="spellStart"/>
      <w:proofErr w:type="gramStart"/>
      <w:r w:rsidR="001C1E32">
        <w:t>pre World</w:t>
      </w:r>
      <w:proofErr w:type="spellEnd"/>
      <w:proofErr w:type="gramEnd"/>
      <w:r w:rsidR="001C1E32">
        <w:t xml:space="preserve"> War II regimes.   </w:t>
      </w:r>
      <w:r w:rsidR="00B002C1">
        <w:lastRenderedPageBreak/>
        <w:t>Where a history of social integration with non</w:t>
      </w:r>
      <w:r w:rsidR="00E167BE">
        <w:t>-</w:t>
      </w:r>
      <w:r w:rsidR="00B002C1">
        <w:t xml:space="preserve">Jewish neighbors and authorities was present (Minsk and </w:t>
      </w:r>
      <w:r w:rsidR="0083286A">
        <w:t>C</w:t>
      </w:r>
      <w:r w:rsidR="00B002C1">
        <w:t>ra</w:t>
      </w:r>
      <w:r w:rsidR="0083286A">
        <w:t>cow</w:t>
      </w:r>
      <w:r w:rsidR="005D18F1">
        <w:t xml:space="preserve">, each respectively previously under Soviet or </w:t>
      </w:r>
      <w:proofErr w:type="spellStart"/>
      <w:r w:rsidR="005D18F1">
        <w:t>Austrio</w:t>
      </w:r>
      <w:proofErr w:type="spellEnd"/>
      <w:r w:rsidR="005D18F1">
        <w:t>-Hungarian rule</w:t>
      </w:r>
      <w:r w:rsidR="00B002C1">
        <w:t xml:space="preserve">), </w:t>
      </w:r>
      <w:r w:rsidR="005D18F1">
        <w:t>Jews often “evaded” persecution by assimilating</w:t>
      </w:r>
      <w:r w:rsidR="005E7196">
        <w:t>, hiding,</w:t>
      </w:r>
      <w:r w:rsidR="005D18F1">
        <w:t xml:space="preserve"> or adopting a “fake” identity outside Ghetto</w:t>
      </w:r>
      <w:r w:rsidR="005E7196">
        <w:t xml:space="preserve"> walls</w:t>
      </w:r>
      <w:r w:rsidR="005D18F1">
        <w:t>. By contrast, in contexts where the pre</w:t>
      </w:r>
      <w:r w:rsidR="00E167BE">
        <w:t>-</w:t>
      </w:r>
      <w:r w:rsidR="005D18F1">
        <w:t>World War II authorities had discouraged</w:t>
      </w:r>
      <w:r w:rsidR="00E167BE">
        <w:t xml:space="preserve"> or the communities resisted</w:t>
      </w:r>
      <w:r w:rsidR="005D18F1">
        <w:t xml:space="preserve"> integration (</w:t>
      </w:r>
      <w:proofErr w:type="gramStart"/>
      <w:r w:rsidR="005D18F1">
        <w:t>e.g.</w:t>
      </w:r>
      <w:proofErr w:type="gramEnd"/>
      <w:r w:rsidR="005D18F1">
        <w:t xml:space="preserve"> Bialystok) as happened under pre-Soviet Russian rule and interwar Polish rule, evasion </w:t>
      </w:r>
      <w:r w:rsidR="00E167BE">
        <w:t xml:space="preserve">was </w:t>
      </w:r>
      <w:r w:rsidR="005E7196">
        <w:t xml:space="preserve">simply </w:t>
      </w:r>
      <w:r w:rsidR="00E167BE">
        <w:t>not</w:t>
      </w:r>
      <w:r w:rsidR="005D18F1">
        <w:t xml:space="preserve"> an option, Jews were more likely to “stay put” or resist.  </w:t>
      </w:r>
      <w:r w:rsidR="00CF5706">
        <w:t>Pre-existing</w:t>
      </w:r>
      <w:r w:rsidR="005D18F1">
        <w:t xml:space="preserve"> structures of authority and social relations shaped how ordinary Jews survived.</w:t>
      </w:r>
    </w:p>
    <w:p w14:paraId="5322B913" w14:textId="178FE8F1" w:rsidR="00974326" w:rsidRDefault="00974326" w:rsidP="00732CAC">
      <w:pPr>
        <w:spacing w:line="480" w:lineRule="auto"/>
      </w:pPr>
      <w:r>
        <w:tab/>
        <w:t>When we turn our attention away from the victims to the perp</w:t>
      </w:r>
      <w:r w:rsidR="005E7196">
        <w:t>e</w:t>
      </w:r>
      <w:r>
        <w:t xml:space="preserve">trators, we see similar patterns of local variation in the borderlands of occupied Poland and western Ukraine in </w:t>
      </w:r>
      <w:proofErr w:type="spellStart"/>
      <w:r>
        <w:t>Kopstein’s</w:t>
      </w:r>
      <w:proofErr w:type="spellEnd"/>
      <w:r>
        <w:t xml:space="preserve"> analysis of the pogroms of the Summer of 1941. Here, rather than local ties mattering, it was the structure of political competition.  In these nascent democracies of the interwar years, religious and ethnic cleavages played out in electoral politics in a way that quickly degenerated into more virulent forms of ethnic competition. Converging with Solomon’s findings on Kristallnacht, it is where Jewish populations were larger and more mobilized that pogroms were more intense.  </w:t>
      </w:r>
      <w:proofErr w:type="spellStart"/>
      <w:r>
        <w:t>Kopstein’s</w:t>
      </w:r>
      <w:proofErr w:type="spellEnd"/>
      <w:r>
        <w:t xml:space="preserve"> work, </w:t>
      </w:r>
      <w:r w:rsidR="00E167BE">
        <w:t>(</w:t>
      </w:r>
      <w:r>
        <w:t>summarized more thoroughly in Kopstein and Wittenberg 2018), also is suggestive of</w:t>
      </w:r>
      <w:r w:rsidR="005E7196">
        <w:t xml:space="preserve"> dynamics in</w:t>
      </w:r>
      <w:r>
        <w:t xml:space="preserve"> other times and places.  </w:t>
      </w:r>
      <w:r w:rsidR="00E20FEF">
        <w:t xml:space="preserve">Local and communal patterns of political competition tilt some societies more towards </w:t>
      </w:r>
      <w:proofErr w:type="gramStart"/>
      <w:r w:rsidR="00E20FEF">
        <w:t>ethnically-motivated</w:t>
      </w:r>
      <w:proofErr w:type="gramEnd"/>
      <w:r w:rsidR="00E20FEF">
        <w:t xml:space="preserve"> political violence than others.</w:t>
      </w:r>
    </w:p>
    <w:p w14:paraId="6FD64A92" w14:textId="02FF3665" w:rsidR="002A524D" w:rsidRPr="00FC134E" w:rsidRDefault="00E20FEF" w:rsidP="00CE7598">
      <w:pPr>
        <w:spacing w:line="480" w:lineRule="auto"/>
      </w:pPr>
      <w:r>
        <w:tab/>
        <w:t xml:space="preserve">And, finally, even more general cultural tendencies </w:t>
      </w:r>
      <w:proofErr w:type="gramStart"/>
      <w:r w:rsidR="005E7196">
        <w:t xml:space="preserve">of </w:t>
      </w:r>
      <w:r>
        <w:t xml:space="preserve"> anti</w:t>
      </w:r>
      <w:proofErr w:type="gramEnd"/>
      <w:r>
        <w:t xml:space="preserve">-Semitism—as reflected in children’s stories-- are locally rooted, as Robert Braun’s analysis (this volume) make clear.  Based on a </w:t>
      </w:r>
      <w:r w:rsidR="005E7196">
        <w:t xml:space="preserve">new analysis of an old </w:t>
      </w:r>
      <w:r>
        <w:t xml:space="preserve">survey conducted in the early 1930s of 50,356 local experts from 19,828 locales on the prevalence of Jewish “bogeyman” stories in local folklore traditions, </w:t>
      </w:r>
      <w:r>
        <w:lastRenderedPageBreak/>
        <w:t xml:space="preserve">Braun makes clear that </w:t>
      </w:r>
      <w:r w:rsidR="00E7376E">
        <w:t xml:space="preserve">among other factors, </w:t>
      </w:r>
      <w:r>
        <w:t xml:space="preserve">it is </w:t>
      </w:r>
      <w:r w:rsidR="00E7376E">
        <w:t xml:space="preserve">in </w:t>
      </w:r>
      <w:r>
        <w:t xml:space="preserve">Germany’s borderlands—regions proximate to </w:t>
      </w:r>
      <w:r w:rsidR="00E7376E">
        <w:t xml:space="preserve">territory lost to the post-Versailles redrawing of German boundaries—that these stories had greater circulation.  </w:t>
      </w:r>
      <w:r w:rsidR="005E7196">
        <w:t>Not only</w:t>
      </w:r>
      <w:r w:rsidR="00E7376E">
        <w:t xml:space="preserve"> overt violence, even deeper-seated cultural patterns reflected local regional experiences in the leadup to the Holocaust.</w:t>
      </w:r>
    </w:p>
    <w:p w14:paraId="6A3FC3FA" w14:textId="77777777" w:rsidR="00391209" w:rsidRDefault="00391209" w:rsidP="00C2292F">
      <w:pPr>
        <w:spacing w:line="480" w:lineRule="auto"/>
        <w:jc w:val="center"/>
        <w:rPr>
          <w:b/>
          <w:bCs/>
        </w:rPr>
      </w:pPr>
    </w:p>
    <w:p w14:paraId="3AE979FC" w14:textId="2A3DC03C" w:rsidR="00E7376E" w:rsidRPr="008B32D9" w:rsidRDefault="00CF5706" w:rsidP="00C2292F">
      <w:pPr>
        <w:spacing w:line="480" w:lineRule="auto"/>
        <w:jc w:val="center"/>
        <w:rPr>
          <w:b/>
          <w:bCs/>
        </w:rPr>
      </w:pPr>
      <w:r w:rsidRPr="008B32D9">
        <w:rPr>
          <w:b/>
          <w:bCs/>
        </w:rPr>
        <w:t xml:space="preserve">From </w:t>
      </w:r>
      <w:r w:rsidR="00E7376E" w:rsidRPr="008B32D9">
        <w:rPr>
          <w:b/>
          <w:bCs/>
        </w:rPr>
        <w:t xml:space="preserve">Disaggregation </w:t>
      </w:r>
      <w:r w:rsidRPr="008B32D9">
        <w:rPr>
          <w:b/>
          <w:bCs/>
        </w:rPr>
        <w:t>to</w:t>
      </w:r>
      <w:r w:rsidR="003802C6" w:rsidRPr="008B32D9">
        <w:rPr>
          <w:b/>
          <w:bCs/>
        </w:rPr>
        <w:t xml:space="preserve"> </w:t>
      </w:r>
      <w:r w:rsidRPr="008B32D9">
        <w:rPr>
          <w:b/>
          <w:bCs/>
        </w:rPr>
        <w:t>Re-</w:t>
      </w:r>
      <w:r w:rsidR="003802C6" w:rsidRPr="008B32D9">
        <w:rPr>
          <w:b/>
          <w:bCs/>
        </w:rPr>
        <w:t>Contextualiz</w:t>
      </w:r>
      <w:r w:rsidR="00D5317B" w:rsidRPr="008B32D9">
        <w:rPr>
          <w:b/>
          <w:bCs/>
        </w:rPr>
        <w:t>a</w:t>
      </w:r>
      <w:r w:rsidR="003802C6" w:rsidRPr="008B32D9">
        <w:rPr>
          <w:b/>
          <w:bCs/>
        </w:rPr>
        <w:t>tion</w:t>
      </w:r>
    </w:p>
    <w:p w14:paraId="2A0FC146" w14:textId="5A6F0849" w:rsidR="00E7376E" w:rsidRDefault="003802C6" w:rsidP="003802C6">
      <w:pPr>
        <w:spacing w:line="480" w:lineRule="auto"/>
        <w:ind w:firstLine="720"/>
      </w:pPr>
      <w:r>
        <w:t xml:space="preserve">All of the contributions in this volume pursue a similar tack: disaggregation and decentering. </w:t>
      </w:r>
      <w:r w:rsidR="00D5317B">
        <w:t xml:space="preserve">Shifting attention away from the “commanding heights “of the Nazi state in Berlin, we uncover the local determinants of violence in Lithuania (Mishkin), Jewish responses to the Typhoid epidemic in the Warsaw Ghetto (Stone and Lehnstaedt), survival strategies in the Netherlands (Tammes and Simpkin), the relationship of the Catholic hierarchy and the Vichy regime in France (Luft), the gender make-up of victims transported by train to concentration camps (Welch), </w:t>
      </w:r>
      <w:r w:rsidR="005D18F1">
        <w:t xml:space="preserve">and </w:t>
      </w:r>
      <w:r w:rsidR="00D5317B">
        <w:t>what survivors’ testimonies can teach us about the resistance to the Holocaust (</w:t>
      </w:r>
      <w:proofErr w:type="spellStart"/>
      <w:r w:rsidR="00D5317B">
        <w:t>Einwohner</w:t>
      </w:r>
      <w:proofErr w:type="spellEnd"/>
      <w:r w:rsidR="00D5317B">
        <w:t xml:space="preserve">). We also learn about the politics of memory and remembrance outside of Germany (see </w:t>
      </w:r>
      <w:proofErr w:type="spellStart"/>
      <w:r w:rsidR="00D5317B">
        <w:t>Charnysh</w:t>
      </w:r>
      <w:proofErr w:type="spellEnd"/>
      <w:r w:rsidR="00D5317B">
        <w:t xml:space="preserve">, this volume; </w:t>
      </w:r>
      <w:proofErr w:type="spellStart"/>
      <w:r w:rsidR="00D5317B">
        <w:t>Gitelman</w:t>
      </w:r>
      <w:proofErr w:type="spellEnd"/>
      <w:r w:rsidR="00D5317B">
        <w:t xml:space="preserve">, this volume; and Subotic, this volume).   </w:t>
      </w:r>
    </w:p>
    <w:p w14:paraId="6CEA23ED" w14:textId="6AE92864" w:rsidR="00396895" w:rsidRDefault="00B002C1" w:rsidP="000B2AE8">
      <w:pPr>
        <w:spacing w:line="480" w:lineRule="auto"/>
        <w:ind w:firstLine="720"/>
      </w:pPr>
      <w:r>
        <w:t>Disaggregation</w:t>
      </w:r>
      <w:r w:rsidR="005E7196">
        <w:t xml:space="preserve"> and decentering</w:t>
      </w:r>
      <w:r>
        <w:t xml:space="preserve"> </w:t>
      </w:r>
      <w:proofErr w:type="gramStart"/>
      <w:r>
        <w:t>gives</w:t>
      </w:r>
      <w:proofErr w:type="gramEnd"/>
      <w:r>
        <w:t xml:space="preserve"> us a </w:t>
      </w:r>
      <w:r w:rsidR="00E901AE">
        <w:t xml:space="preserve">vivid </w:t>
      </w:r>
      <w:r>
        <w:t xml:space="preserve">picture “on the ground” of the multiple processes and actors that </w:t>
      </w:r>
      <w:r w:rsidR="00CF5706">
        <w:t>shaped the inner-workings of the</w:t>
      </w:r>
      <w:r>
        <w:t xml:space="preserve"> rupture of the Holocaust in twentieth century Europe</w:t>
      </w:r>
      <w:r w:rsidR="005D18F1">
        <w:t xml:space="preserve"> </w:t>
      </w:r>
      <w:r w:rsidR="005E7196">
        <w:t>as well as its</w:t>
      </w:r>
      <w:r w:rsidR="005D18F1">
        <w:t xml:space="preserve"> global aftermath.</w:t>
      </w:r>
      <w:r>
        <w:t xml:space="preserve">  </w:t>
      </w:r>
      <w:r w:rsidR="00E901AE">
        <w:t>We learn what happens when societies fall into the chasm of the Holocaust</w:t>
      </w:r>
      <w:r w:rsidR="0075036C">
        <w:t xml:space="preserve"> </w:t>
      </w:r>
      <w:r w:rsidR="00E901AE">
        <w:t xml:space="preserve">where rule of law is </w:t>
      </w:r>
      <w:proofErr w:type="gramStart"/>
      <w:r w:rsidR="00E901AE">
        <w:t>perverted</w:t>
      </w:r>
      <w:proofErr w:type="gramEnd"/>
      <w:r w:rsidR="00391209">
        <w:t xml:space="preserve"> and small-scale coordination is necessary for human survival.</w:t>
      </w:r>
      <w:r w:rsidR="0075036C">
        <w:t xml:space="preserve"> </w:t>
      </w:r>
      <w:r>
        <w:t>Further, by often operating with systematic data, we can see that the</w:t>
      </w:r>
      <w:r w:rsidR="00CF5706">
        <w:t>se inner-workings</w:t>
      </w:r>
      <w:r>
        <w:t xml:space="preserve"> can be </w:t>
      </w:r>
      <w:r w:rsidR="00E64E61">
        <w:t>analyzed</w:t>
      </w:r>
      <w:r>
        <w:t xml:space="preserve"> </w:t>
      </w:r>
      <w:r w:rsidR="005E7196">
        <w:t>by applying and testing theory</w:t>
      </w:r>
      <w:r>
        <w:t xml:space="preserve"> drawn from other contexts—</w:t>
      </w:r>
      <w:proofErr w:type="gramStart"/>
      <w:r>
        <w:t>e.g.</w:t>
      </w:r>
      <w:proofErr w:type="gramEnd"/>
      <w:r>
        <w:t xml:space="preserve"> </w:t>
      </w:r>
      <w:r w:rsidR="00391209">
        <w:t xml:space="preserve">theories of </w:t>
      </w:r>
      <w:r>
        <w:t xml:space="preserve">“racial threat” </w:t>
      </w:r>
      <w:r w:rsidR="005D18F1">
        <w:t xml:space="preserve">(Kopstein, this volume) and </w:t>
      </w:r>
      <w:r w:rsidR="000B2AE8">
        <w:t>“symbolic violence” (Solomon, this volume).</w:t>
      </w:r>
    </w:p>
    <w:p w14:paraId="388A8B70" w14:textId="12568F34" w:rsidR="00391209" w:rsidRDefault="00396895" w:rsidP="000B2AE8">
      <w:pPr>
        <w:spacing w:line="480" w:lineRule="auto"/>
        <w:ind w:firstLine="720"/>
      </w:pPr>
      <w:r>
        <w:lastRenderedPageBreak/>
        <w:t xml:space="preserve">But </w:t>
      </w:r>
      <w:r w:rsidR="00E901AE">
        <w:t xml:space="preserve">understanding the local, proximate determinants </w:t>
      </w:r>
      <w:r w:rsidR="00E64E61">
        <w:t>inside the</w:t>
      </w:r>
      <w:r>
        <w:t xml:space="preserve"> Holocaust </w:t>
      </w:r>
      <w:r w:rsidR="00E901AE">
        <w:t xml:space="preserve">do not immediately help us answer a broader question: why </w:t>
      </w:r>
      <w:r>
        <w:t xml:space="preserve">was it exactly that </w:t>
      </w:r>
      <w:r w:rsidRPr="0075036C">
        <w:rPr>
          <w:i/>
          <w:iCs/>
        </w:rPr>
        <w:t xml:space="preserve">this </w:t>
      </w:r>
      <w:r w:rsidR="0075036C">
        <w:t xml:space="preserve">particular </w:t>
      </w:r>
      <w:r w:rsidR="00E901AE">
        <w:t xml:space="preserve">region of Europe </w:t>
      </w:r>
      <w:r w:rsidR="00391209">
        <w:t>experienced the murderous wave of the Holocaust</w:t>
      </w:r>
      <w:r>
        <w:t xml:space="preserve"> in</w:t>
      </w:r>
      <w:r w:rsidRPr="00E901AE">
        <w:rPr>
          <w:i/>
          <w:iCs/>
        </w:rPr>
        <w:t xml:space="preserve"> this</w:t>
      </w:r>
      <w:r>
        <w:t xml:space="preserve"> particular period? After all, that these regions of Europe, long under Imperial rule</w:t>
      </w:r>
      <w:r w:rsidR="00E901AE">
        <w:t xml:space="preserve"> and prone to ethnic rivalries, </w:t>
      </w:r>
      <w:r>
        <w:t xml:space="preserve">would </w:t>
      </w:r>
      <w:r w:rsidR="00353A34">
        <w:t xml:space="preserve">suddenly </w:t>
      </w:r>
      <w:r>
        <w:t xml:space="preserve">become the sites of massive human destruction </w:t>
      </w:r>
      <w:r w:rsidRPr="00ED412C">
        <w:rPr>
          <w:i/>
          <w:iCs/>
        </w:rPr>
        <w:t>when</w:t>
      </w:r>
      <w:r>
        <w:t xml:space="preserve"> they did is </w:t>
      </w:r>
      <w:r w:rsidR="00E901AE">
        <w:t xml:space="preserve">in some respects </w:t>
      </w:r>
      <w:r>
        <w:t xml:space="preserve">surprising: </w:t>
      </w:r>
      <w:r w:rsidR="0075036C">
        <w:t xml:space="preserve">by the 1930s, </w:t>
      </w:r>
      <w:r>
        <w:t xml:space="preserve">decades of economic progress and </w:t>
      </w:r>
      <w:r w:rsidR="0075036C">
        <w:t xml:space="preserve">the </w:t>
      </w:r>
      <w:r>
        <w:t xml:space="preserve">recent democratization </w:t>
      </w:r>
      <w:r w:rsidR="00C2292F">
        <w:t xml:space="preserve">of </w:t>
      </w:r>
      <w:r w:rsidR="0075036C">
        <w:t xml:space="preserve">political systems </w:t>
      </w:r>
      <w:r>
        <w:t>ought</w:t>
      </w:r>
      <w:r w:rsidR="00E901AE">
        <w:t xml:space="preserve"> to have been</w:t>
      </w:r>
      <w:r w:rsidR="00391209">
        <w:t xml:space="preserve"> liberating</w:t>
      </w:r>
      <w:r>
        <w:t xml:space="preserve">, if we are to believe </w:t>
      </w:r>
      <w:r w:rsidR="00CF5706">
        <w:t xml:space="preserve">much of the received wisdom of social science (Sen, 1999).  </w:t>
      </w:r>
    </w:p>
    <w:p w14:paraId="5454C1E3" w14:textId="168A1A30" w:rsidR="00ED412C" w:rsidRDefault="00391209" w:rsidP="00391209">
      <w:pPr>
        <w:spacing w:line="480" w:lineRule="auto"/>
        <w:ind w:firstLine="720"/>
      </w:pPr>
      <w:r>
        <w:t>To answer a question like this requires</w:t>
      </w:r>
      <w:r w:rsidR="00353A34">
        <w:t>, however,</w:t>
      </w:r>
      <w:r>
        <w:t xml:space="preserve"> </w:t>
      </w:r>
      <w:r w:rsidR="00AE271C">
        <w:t xml:space="preserve">as some of the accounts in this volume </w:t>
      </w:r>
      <w:r w:rsidR="00E64E61">
        <w:t>suggest</w:t>
      </w:r>
      <w:r w:rsidR="00AE271C">
        <w:t xml:space="preserve">, </w:t>
      </w:r>
      <w:r w:rsidR="00E64E61">
        <w:t xml:space="preserve">that </w:t>
      </w:r>
      <w:r>
        <w:t xml:space="preserve">we step back from the micro back to the macro.  </w:t>
      </w:r>
      <w:r w:rsidR="00ED412C">
        <w:t xml:space="preserve">Relinking the </w:t>
      </w:r>
      <w:r w:rsidR="00FE10BF">
        <w:t xml:space="preserve">decentered </w:t>
      </w:r>
      <w:r w:rsidR="00ED412C">
        <w:t xml:space="preserve">processes within the Holocaust </w:t>
      </w:r>
      <w:r>
        <w:t>---discovered by projects like the present volume--</w:t>
      </w:r>
      <w:r w:rsidR="00ED412C">
        <w:t xml:space="preserve">to the </w:t>
      </w:r>
      <w:r w:rsidR="00FE10BF">
        <w:t xml:space="preserve">common </w:t>
      </w:r>
      <w:r w:rsidR="00ED412C">
        <w:t xml:space="preserve">antecedent </w:t>
      </w:r>
      <w:r w:rsidR="00FE10BF">
        <w:t xml:space="preserve">external </w:t>
      </w:r>
      <w:r w:rsidR="00ED412C">
        <w:t>conditions</w:t>
      </w:r>
      <w:r w:rsidR="00FE10BF">
        <w:t xml:space="preserve"> </w:t>
      </w:r>
      <w:r w:rsidR="00ED412C">
        <w:t>that activated them</w:t>
      </w:r>
      <w:r w:rsidR="00FE10BF">
        <w:t xml:space="preserve"> nearly simultaneously across Europe is </w:t>
      </w:r>
      <w:r w:rsidR="00ED412C">
        <w:t xml:space="preserve">critical issue for the social scientific study of the Holocaust.  </w:t>
      </w:r>
      <w:r w:rsidR="00FE10BF">
        <w:t>In other words, the</w:t>
      </w:r>
      <w:r w:rsidR="00ED412C">
        <w:t xml:space="preserve"> turn to the micro has </w:t>
      </w:r>
      <w:r w:rsidR="00BC4B5C">
        <w:t xml:space="preserve">to be supplemented by a focus on the macro.  </w:t>
      </w:r>
    </w:p>
    <w:p w14:paraId="539BDF77" w14:textId="77777777" w:rsidR="00391209" w:rsidRDefault="00391209" w:rsidP="00391209">
      <w:pPr>
        <w:spacing w:line="480" w:lineRule="auto"/>
        <w:ind w:firstLine="720"/>
      </w:pPr>
    </w:p>
    <w:p w14:paraId="5C2191E2" w14:textId="28FCEC97" w:rsidR="00391209" w:rsidRPr="008B32D9" w:rsidRDefault="00CC5751" w:rsidP="00C2292F">
      <w:pPr>
        <w:spacing w:line="480" w:lineRule="auto"/>
        <w:jc w:val="center"/>
        <w:rPr>
          <w:b/>
          <w:bCs/>
          <w:i/>
          <w:iCs/>
        </w:rPr>
      </w:pPr>
      <w:r w:rsidRPr="008B32D9">
        <w:rPr>
          <w:b/>
          <w:bCs/>
        </w:rPr>
        <w:t>Antecedent Conditions of Human Destructiveness</w:t>
      </w:r>
    </w:p>
    <w:p w14:paraId="6545164A" w14:textId="01C96BB0" w:rsidR="002A524D" w:rsidRDefault="00391209" w:rsidP="00ED412C">
      <w:pPr>
        <w:spacing w:line="480" w:lineRule="auto"/>
        <w:ind w:firstLine="720"/>
      </w:pPr>
      <w:r>
        <w:t xml:space="preserve">What triggered the processes identified in this book?  </w:t>
      </w:r>
      <w:r w:rsidR="00BC4B5C">
        <w:t xml:space="preserve">One </w:t>
      </w:r>
      <w:r w:rsidR="00E64E61">
        <w:t xml:space="preserve">common </w:t>
      </w:r>
      <w:r w:rsidR="00BC4B5C">
        <w:t>view</w:t>
      </w:r>
      <w:r w:rsidR="009C4486">
        <w:t xml:space="preserve"> </w:t>
      </w:r>
      <w:proofErr w:type="gramStart"/>
      <w:r w:rsidR="009C4486">
        <w:t>answers</w:t>
      </w:r>
      <w:proofErr w:type="gramEnd"/>
      <w:r w:rsidR="009C4486">
        <w:t xml:space="preserve"> that </w:t>
      </w:r>
      <w:r w:rsidR="00BC4B5C">
        <w:t>democracy’s</w:t>
      </w:r>
      <w:r w:rsidR="00E64E61">
        <w:t xml:space="preserve"> belated</w:t>
      </w:r>
      <w:r w:rsidR="00BC4B5C">
        <w:t xml:space="preserve"> arrival</w:t>
      </w:r>
      <w:r w:rsidR="00E167BE">
        <w:t xml:space="preserve"> </w:t>
      </w:r>
      <w:r w:rsidR="00E64E61">
        <w:t>in</w:t>
      </w:r>
      <w:r w:rsidR="00BC4B5C">
        <w:t xml:space="preserve"> Central Europe </w:t>
      </w:r>
      <w:r w:rsidR="009C4486">
        <w:t xml:space="preserve">is </w:t>
      </w:r>
      <w:r w:rsidR="00E64E61">
        <w:t>directly connected</w:t>
      </w:r>
      <w:r w:rsidR="009C4486">
        <w:t xml:space="preserve"> to the</w:t>
      </w:r>
      <w:r w:rsidR="00BC4B5C">
        <w:t xml:space="preserve"> wave of human destruction that </w:t>
      </w:r>
      <w:r>
        <w:t>followed in its</w:t>
      </w:r>
      <w:r w:rsidR="00BC4B5C">
        <w:t xml:space="preserve"> wake</w:t>
      </w:r>
      <w:r w:rsidR="009C4486">
        <w:t>. The sociologist Michael Mann</w:t>
      </w:r>
      <w:r w:rsidR="001758DB">
        <w:t xml:space="preserve"> </w:t>
      </w:r>
      <w:r w:rsidR="009C4486">
        <w:t>has argued that democracy has</w:t>
      </w:r>
      <w:r w:rsidR="00E901AE">
        <w:t xml:space="preserve"> </w:t>
      </w:r>
      <w:r w:rsidR="00C2292F">
        <w:t xml:space="preserve">a </w:t>
      </w:r>
      <w:r w:rsidR="00E901AE">
        <w:t xml:space="preserve">“dark </w:t>
      </w:r>
      <w:proofErr w:type="gramStart"/>
      <w:r w:rsidR="00E901AE">
        <w:t>side</w:t>
      </w:r>
      <w:r w:rsidR="009C4486">
        <w:t>”--</w:t>
      </w:r>
      <w:proofErr w:type="gramEnd"/>
      <w:r w:rsidR="00911E6C">
        <w:t>a proclivity for</w:t>
      </w:r>
      <w:r w:rsidR="00E901AE">
        <w:t xml:space="preserve"> ethnic violence (Mann, 2005)</w:t>
      </w:r>
      <w:r w:rsidR="00BC4B5C">
        <w:t xml:space="preserve">. </w:t>
      </w:r>
      <w:r w:rsidR="00AE271C">
        <w:t>On this view, democratization destabilizes power relations, unleashes power struggles, and by prioritizing majority rule can, at least in the shor</w:t>
      </w:r>
      <w:r w:rsidR="009C4486">
        <w:t>t-term</w:t>
      </w:r>
      <w:r w:rsidR="00AE271C">
        <w:t>, run amok by allowing the majority to tyrannize the minority. Other scholars o</w:t>
      </w:r>
      <w:r w:rsidR="009C4486">
        <w:t xml:space="preserve">f </w:t>
      </w:r>
      <w:r w:rsidR="00AE271C">
        <w:t>contemporary democratization</w:t>
      </w:r>
      <w:r w:rsidR="009C4486">
        <w:t xml:space="preserve">, writing in the wake of the breakup of Yugoslavia and </w:t>
      </w:r>
      <w:r w:rsidR="009C4486">
        <w:lastRenderedPageBreak/>
        <w:t>ethnic conflict of the 1990s</w:t>
      </w:r>
      <w:r w:rsidR="00AE271C">
        <w:t xml:space="preserve"> (Snyder, 2000)</w:t>
      </w:r>
      <w:r w:rsidR="009C4486">
        <w:t>,</w:t>
      </w:r>
      <w:r w:rsidR="00AE271C">
        <w:t xml:space="preserve"> have </w:t>
      </w:r>
      <w:r w:rsidR="00E64E61">
        <w:t xml:space="preserve">also </w:t>
      </w:r>
      <w:r w:rsidR="009C4486">
        <w:t>argued</w:t>
      </w:r>
      <w:r w:rsidR="00AE271C">
        <w:t xml:space="preserve"> that new democracies </w:t>
      </w:r>
      <w:r w:rsidR="009C4486">
        <w:t xml:space="preserve">with weak institutions are </w:t>
      </w:r>
      <w:r w:rsidR="00AE271C">
        <w:t xml:space="preserve">prone to violence as traditional elites encourage ethnic and nationalist violence to maintain power. </w:t>
      </w:r>
      <w:r w:rsidR="009C4486">
        <w:t xml:space="preserve">Political competition amidst intense ethnic cleavages can be dangerous. </w:t>
      </w:r>
      <w:r w:rsidR="001758DB">
        <w:t xml:space="preserve"> </w:t>
      </w:r>
      <w:r w:rsidR="00353A34">
        <w:t>In</w:t>
      </w:r>
      <w:r w:rsidR="001758DB">
        <w:t xml:space="preserve"> </w:t>
      </w:r>
      <w:proofErr w:type="spellStart"/>
      <w:r w:rsidR="001758DB">
        <w:t>Kopstein’s</w:t>
      </w:r>
      <w:proofErr w:type="spellEnd"/>
      <w:r w:rsidR="001758DB">
        <w:t xml:space="preserve"> account (this volume),</w:t>
      </w:r>
      <w:r w:rsidR="00FE10BF">
        <w:t xml:space="preserve"> </w:t>
      </w:r>
      <w:r w:rsidR="004A6C1D">
        <w:t>fiercely</w:t>
      </w:r>
      <w:r w:rsidR="00E167BE">
        <w:t xml:space="preserve"> contested</w:t>
      </w:r>
      <w:r w:rsidR="009C4486">
        <w:t xml:space="preserve"> elections</w:t>
      </w:r>
      <w:r>
        <w:t xml:space="preserve"> </w:t>
      </w:r>
      <w:r w:rsidR="00FE10BF">
        <w:t xml:space="preserve">in a new democracy </w:t>
      </w:r>
      <w:r w:rsidR="009C4486">
        <w:t xml:space="preserve">coincided with </w:t>
      </w:r>
      <w:r w:rsidR="004A6C1D">
        <w:t xml:space="preserve">later </w:t>
      </w:r>
      <w:r>
        <w:t>pogroms</w:t>
      </w:r>
      <w:r w:rsidR="001758DB">
        <w:t xml:space="preserve"> in </w:t>
      </w:r>
      <w:r w:rsidR="00E64E61">
        <w:t>eastern Poland</w:t>
      </w:r>
      <w:r w:rsidR="00911E6C">
        <w:t xml:space="preserve">, </w:t>
      </w:r>
      <w:r w:rsidR="001758DB">
        <w:t xml:space="preserve">and in Solomon’s data (this volume), </w:t>
      </w:r>
      <w:r w:rsidR="00CC5751">
        <w:t xml:space="preserve">more </w:t>
      </w:r>
      <w:r>
        <w:t xml:space="preserve">Communist Party electoral success </w:t>
      </w:r>
      <w:r w:rsidR="00FE10BF">
        <w:t xml:space="preserve">in Weimar Germany </w:t>
      </w:r>
      <w:r w:rsidR="00911E6C">
        <w:t>triggered</w:t>
      </w:r>
      <w:r w:rsidR="00CC5751">
        <w:t xml:space="preserve"> intense </w:t>
      </w:r>
      <w:r>
        <w:t xml:space="preserve">synagogue attacks </w:t>
      </w:r>
      <w:r w:rsidR="00FE10BF">
        <w:t>across Germany in</w:t>
      </w:r>
      <w:r>
        <w:t xml:space="preserve"> 1938</w:t>
      </w:r>
      <w:r w:rsidR="001758DB">
        <w:t xml:space="preserve">. </w:t>
      </w:r>
    </w:p>
    <w:p w14:paraId="0D383B09" w14:textId="3541BE50" w:rsidR="00911E6C" w:rsidRDefault="00911E6C" w:rsidP="00ED412C">
      <w:pPr>
        <w:spacing w:line="480" w:lineRule="auto"/>
        <w:ind w:firstLine="720"/>
      </w:pPr>
      <w:r>
        <w:t xml:space="preserve">But </w:t>
      </w:r>
      <w:r w:rsidR="00AE271C">
        <w:t>solely focusing on the</w:t>
      </w:r>
      <w:r>
        <w:t xml:space="preserve"> </w:t>
      </w:r>
      <w:r w:rsidRPr="00FE10BF">
        <w:rPr>
          <w:i/>
          <w:iCs/>
        </w:rPr>
        <w:t xml:space="preserve">internal </w:t>
      </w:r>
      <w:r w:rsidR="00FE10BF">
        <w:t xml:space="preserve">or domestic </w:t>
      </w:r>
      <w:r>
        <w:t xml:space="preserve">antecedent conditions of violence </w:t>
      </w:r>
      <w:r w:rsidR="00AE251F">
        <w:t xml:space="preserve">is to </w:t>
      </w:r>
      <w:r w:rsidR="009C4486">
        <w:t>presume</w:t>
      </w:r>
      <w:r>
        <w:t xml:space="preserve"> democracies develop in relatively closed “natural systems</w:t>
      </w:r>
      <w:r w:rsidR="00AE251F">
        <w:t>” (Bendix, 1967)</w:t>
      </w:r>
      <w:r w:rsidR="009C4486">
        <w:t>.</w:t>
      </w:r>
      <w:r>
        <w:t xml:space="preserve"> At the edges of all of the accounts in this volume, </w:t>
      </w:r>
      <w:r w:rsidR="00AE271C">
        <w:t xml:space="preserve">is another </w:t>
      </w:r>
      <w:r w:rsidR="009C4486">
        <w:t>approach</w:t>
      </w:r>
      <w:r w:rsidR="00AE251F">
        <w:t>:</w:t>
      </w:r>
      <w:r w:rsidR="00FE10BF">
        <w:t xml:space="preserve"> </w:t>
      </w:r>
      <w:r w:rsidR="00FE10BF" w:rsidRPr="00AE251F">
        <w:rPr>
          <w:i/>
          <w:iCs/>
        </w:rPr>
        <w:t xml:space="preserve">external </w:t>
      </w:r>
      <w:r w:rsidR="00FE10BF">
        <w:t>constraints</w:t>
      </w:r>
      <w:r w:rsidR="00AE271C">
        <w:t xml:space="preserve"> and </w:t>
      </w:r>
      <w:r w:rsidR="009C4486">
        <w:t xml:space="preserve">foreign </w:t>
      </w:r>
      <w:r w:rsidR="00AE271C">
        <w:t xml:space="preserve">models </w:t>
      </w:r>
      <w:r w:rsidR="00FE10BF">
        <w:t xml:space="preserve">triggered the decentered wave of </w:t>
      </w:r>
      <w:r w:rsidR="009C4486">
        <w:t xml:space="preserve">1940s </w:t>
      </w:r>
      <w:r w:rsidR="00FE10BF">
        <w:t>human destruction across Europe</w:t>
      </w:r>
      <w:r>
        <w:t>.  Note, for example, that it is with the arrival of German troops in</w:t>
      </w:r>
      <w:r w:rsidR="00AE271C">
        <w:t xml:space="preserve"> the Summer of 1941 in Lithuania </w:t>
      </w:r>
      <w:r w:rsidR="009C4486">
        <w:t xml:space="preserve">that </w:t>
      </w:r>
      <w:r w:rsidR="00AE271C">
        <w:t>subaltern paramilitaries engaged in massacres (Mishkin, this volume)</w:t>
      </w:r>
      <w:r>
        <w:t xml:space="preserve">. Or </w:t>
      </w:r>
      <w:r w:rsidR="00AE271C">
        <w:t xml:space="preserve">as Kopstein (this volume) lays out, it was the </w:t>
      </w:r>
      <w:r w:rsidR="00AE251F">
        <w:t>presence</w:t>
      </w:r>
      <w:r w:rsidR="00AE271C">
        <w:t xml:space="preserve"> </w:t>
      </w:r>
      <w:r w:rsidR="00AE251F">
        <w:t xml:space="preserve">of </w:t>
      </w:r>
      <w:r w:rsidR="00AE271C">
        <w:t xml:space="preserve">German army units, police battalions, and mobile killing units in western Ukraine in the Summer of 1941 that prompted the wave of what Kopstein calls “pogrom rituals” following a common “German script.”  But a more subtle use of power was </w:t>
      </w:r>
      <w:r w:rsidR="009C4486">
        <w:t>undoubtedly</w:t>
      </w:r>
      <w:r w:rsidR="00AE251F">
        <w:t xml:space="preserve"> </w:t>
      </w:r>
      <w:r w:rsidR="00AE271C">
        <w:t xml:space="preserve">at work: much </w:t>
      </w:r>
      <w:r w:rsidR="009C4486">
        <w:t xml:space="preserve">of </w:t>
      </w:r>
      <w:r w:rsidR="00AE271C">
        <w:t xml:space="preserve">the violence was not done </w:t>
      </w:r>
      <w:r w:rsidR="00AE251F">
        <w:t>directly with</w:t>
      </w:r>
      <w:r w:rsidR="00AE271C">
        <w:t xml:space="preserve"> German hands</w:t>
      </w:r>
      <w:r w:rsidR="00AE251F">
        <w:t xml:space="preserve"> nor was the physical presence of Germans in a municipality</w:t>
      </w:r>
      <w:r w:rsidR="00AE271C">
        <w:t xml:space="preserve"> </w:t>
      </w:r>
      <w:r w:rsidR="00AE251F">
        <w:t xml:space="preserve">a predictor of </w:t>
      </w:r>
      <w:proofErr w:type="spellStart"/>
      <w:r w:rsidR="00AE251F">
        <w:t>anti Jewish</w:t>
      </w:r>
      <w:proofErr w:type="spellEnd"/>
      <w:r w:rsidR="00AE251F">
        <w:t xml:space="preserve"> pogroms (</w:t>
      </w:r>
      <w:proofErr w:type="spellStart"/>
      <w:r w:rsidR="00AE251F">
        <w:t>Ko</w:t>
      </w:r>
      <w:r w:rsidR="00CB6BE3">
        <w:t>ps</w:t>
      </w:r>
      <w:r w:rsidR="00AE251F">
        <w:t>tein</w:t>
      </w:r>
      <w:proofErr w:type="spellEnd"/>
      <w:r w:rsidR="00AE251F">
        <w:t>, this volume).</w:t>
      </w:r>
      <w:r w:rsidR="00810722">
        <w:t xml:space="preserve"> </w:t>
      </w:r>
      <w:r w:rsidR="009006DF">
        <w:t xml:space="preserve">Moreover, as </w:t>
      </w:r>
      <w:proofErr w:type="spellStart"/>
      <w:r w:rsidR="009006DF">
        <w:t>Charnysh</w:t>
      </w:r>
      <w:proofErr w:type="spellEnd"/>
      <w:r w:rsidR="0083286A">
        <w:t xml:space="preserve">, </w:t>
      </w:r>
      <w:proofErr w:type="spellStart"/>
      <w:r w:rsidR="0083286A">
        <w:t>Gitelman</w:t>
      </w:r>
      <w:proofErr w:type="spellEnd"/>
      <w:r w:rsidR="0083286A">
        <w:t>,</w:t>
      </w:r>
      <w:r w:rsidR="009006DF">
        <w:t xml:space="preserve"> and </w:t>
      </w:r>
      <w:proofErr w:type="spellStart"/>
      <w:r w:rsidR="009006DF">
        <w:t>Subotic</w:t>
      </w:r>
      <w:proofErr w:type="spellEnd"/>
      <w:r w:rsidR="009006DF">
        <w:t xml:space="preserve"> note in their contributions</w:t>
      </w:r>
      <w:r w:rsidR="0083286A">
        <w:t xml:space="preserve"> to this volume</w:t>
      </w:r>
      <w:r w:rsidR="009006DF">
        <w:t xml:space="preserve">, external constraints and models structured not only the Holocaust but also shaped local responses </w:t>
      </w:r>
      <w:r w:rsidR="0083286A">
        <w:t xml:space="preserve">and attempts at </w:t>
      </w:r>
      <w:proofErr w:type="spellStart"/>
      <w:r w:rsidR="0083286A" w:rsidRPr="00F0551B">
        <w:rPr>
          <w:i/>
          <w:iCs/>
        </w:rPr>
        <w:t>Vergangenheitsbewältigung</w:t>
      </w:r>
      <w:proofErr w:type="spellEnd"/>
      <w:r w:rsidR="0083286A">
        <w:t xml:space="preserve"> outside of Germany </w:t>
      </w:r>
      <w:r w:rsidR="009006DF">
        <w:t xml:space="preserve">after the fact.   </w:t>
      </w:r>
      <w:r w:rsidR="00810722">
        <w:t xml:space="preserve">Thus, we need an approach that allows for more nuanced understanding of </w:t>
      </w:r>
      <w:r w:rsidR="00281874">
        <w:t xml:space="preserve">the interactions of </w:t>
      </w:r>
      <w:r w:rsidR="00810722">
        <w:t>external and internal drivers of political violence</w:t>
      </w:r>
      <w:r w:rsidR="009006DF">
        <w:t xml:space="preserve"> and its aftermath</w:t>
      </w:r>
    </w:p>
    <w:p w14:paraId="3134D1CD" w14:textId="362ED137" w:rsidR="002F119D" w:rsidRDefault="00AE251F" w:rsidP="00ED412C">
      <w:pPr>
        <w:spacing w:line="480" w:lineRule="auto"/>
        <w:ind w:firstLine="720"/>
      </w:pPr>
      <w:r>
        <w:lastRenderedPageBreak/>
        <w:t xml:space="preserve">Recent </w:t>
      </w:r>
      <w:r w:rsidR="00281874">
        <w:t xml:space="preserve">political science </w:t>
      </w:r>
      <w:r>
        <w:t xml:space="preserve">scholarship </w:t>
      </w:r>
      <w:r w:rsidR="00810722">
        <w:t xml:space="preserve">on the external drivers of regime change provide one </w:t>
      </w:r>
      <w:r w:rsidR="00DC6F99">
        <w:t>possible approac</w:t>
      </w:r>
      <w:r w:rsidR="009006DF">
        <w:t>h</w:t>
      </w:r>
      <w:r w:rsidR="00810722">
        <w:t xml:space="preserve">.  Seva </w:t>
      </w:r>
      <w:proofErr w:type="spellStart"/>
      <w:r w:rsidR="00810722">
        <w:t>Gunitsky</w:t>
      </w:r>
      <w:r w:rsidR="00281874">
        <w:t>’s</w:t>
      </w:r>
      <w:proofErr w:type="spellEnd"/>
      <w:r w:rsidR="00281874">
        <w:t xml:space="preserve"> important book </w:t>
      </w:r>
      <w:r w:rsidR="00281874" w:rsidRPr="00281874">
        <w:rPr>
          <w:i/>
          <w:iCs/>
        </w:rPr>
        <w:t>Aftershocks: Great Powers and Domestic Reforms in the Twentieth Century</w:t>
      </w:r>
      <w:r w:rsidR="00810722" w:rsidRPr="00281874">
        <w:rPr>
          <w:i/>
          <w:iCs/>
        </w:rPr>
        <w:t xml:space="preserve"> </w:t>
      </w:r>
      <w:r w:rsidR="00810722">
        <w:t>(2017)</w:t>
      </w:r>
      <w:r w:rsidR="00C2292F">
        <w:t xml:space="preserve"> </w:t>
      </w:r>
      <w:r>
        <w:t xml:space="preserve">has made clear that external drivers of domestic regime change occur not only through direct </w:t>
      </w:r>
      <w:r w:rsidR="00281874">
        <w:t>foreign</w:t>
      </w:r>
      <w:r w:rsidR="00C2292F">
        <w:t xml:space="preserve"> </w:t>
      </w:r>
      <w:r>
        <w:t xml:space="preserve">intervention by hegemonic powers but through two more subtle pathways: </w:t>
      </w:r>
      <w:r w:rsidR="00810722">
        <w:t xml:space="preserve">inducements and emulation.  </w:t>
      </w:r>
      <w:proofErr w:type="spellStart"/>
      <w:r w:rsidR="00810722">
        <w:t>Gunitsky</w:t>
      </w:r>
      <w:proofErr w:type="spellEnd"/>
      <w:r w:rsidR="00810722">
        <w:t xml:space="preserve"> notes that democratic breakthroughs and breakdowns tend to cluster in time. This fact reflects</w:t>
      </w:r>
      <w:r w:rsidR="001B2426">
        <w:t xml:space="preserve"> not internal drivers of regime change but</w:t>
      </w:r>
      <w:r w:rsidR="00810722">
        <w:t xml:space="preserve"> major shifts in </w:t>
      </w:r>
      <w:r w:rsidR="001B2426">
        <w:t xml:space="preserve">the </w:t>
      </w:r>
      <w:r w:rsidR="00810722">
        <w:t xml:space="preserve">balance of power in international systems. When new </w:t>
      </w:r>
      <w:r w:rsidR="001B2426">
        <w:t>rising powers</w:t>
      </w:r>
      <w:r w:rsidR="00BA556B">
        <w:t xml:space="preserve"> that are </w:t>
      </w:r>
      <w:r w:rsidR="001B2426">
        <w:t>governed by democratic institutions</w:t>
      </w:r>
      <w:r w:rsidR="00810722">
        <w:t xml:space="preserve"> </w:t>
      </w:r>
      <w:r w:rsidR="001B2426">
        <w:t>(</w:t>
      </w:r>
      <w:proofErr w:type="gramStart"/>
      <w:r w:rsidR="001B2426">
        <w:t>e.g.</w:t>
      </w:r>
      <w:proofErr w:type="gramEnd"/>
      <w:r w:rsidR="001B2426">
        <w:t xml:space="preserve"> United States after 1945 and after 1989)</w:t>
      </w:r>
      <w:r w:rsidR="00BA556B">
        <w:t xml:space="preserve"> </w:t>
      </w:r>
      <w:r w:rsidR="001B2426">
        <w:t xml:space="preserve">emerge </w:t>
      </w:r>
      <w:r w:rsidR="00BA556B">
        <w:t>at the apex of the</w:t>
      </w:r>
      <w:r w:rsidR="00810722">
        <w:t xml:space="preserve"> international system, waves of democracy follow.  When new hegemons </w:t>
      </w:r>
      <w:r w:rsidR="001B2426">
        <w:t>with nondemocratic institutions (</w:t>
      </w:r>
      <w:proofErr w:type="gramStart"/>
      <w:r w:rsidR="001B2426">
        <w:t>e.g.</w:t>
      </w:r>
      <w:proofErr w:type="gramEnd"/>
      <w:r w:rsidR="001B2426">
        <w:t xml:space="preserve"> Germany in the midst of the Great Depression) </w:t>
      </w:r>
      <w:r w:rsidR="00BA556B">
        <w:t>“shock” the</w:t>
      </w:r>
      <w:r w:rsidR="001B2426">
        <w:t xml:space="preserve"> international system, </w:t>
      </w:r>
      <w:r w:rsidR="00DC6F99">
        <w:t xml:space="preserve">then </w:t>
      </w:r>
      <w:r w:rsidR="001B2426">
        <w:t xml:space="preserve">waves of democratic backsliding and breakdown </w:t>
      </w:r>
      <w:r w:rsidR="00BA556B">
        <w:t>occur</w:t>
      </w:r>
      <w:r w:rsidR="001B2426">
        <w:t>.</w:t>
      </w:r>
      <w:r w:rsidR="00810722">
        <w:t xml:space="preserve"> </w:t>
      </w:r>
      <w:r w:rsidR="001B2426">
        <w:t xml:space="preserve"> </w:t>
      </w:r>
      <w:r w:rsidR="00281874">
        <w:t xml:space="preserve">Whether </w:t>
      </w:r>
      <w:r w:rsidR="00DC6F99">
        <w:t xml:space="preserve">a new hegemon is </w:t>
      </w:r>
      <w:r w:rsidR="00281874">
        <w:t>democratic or not, the historical record of the twentieth century shows that new hegemonic powers take advantage of openings in the international system to impose their</w:t>
      </w:r>
      <w:r w:rsidR="00DC6F99">
        <w:t xml:space="preserve"> own</w:t>
      </w:r>
      <w:r w:rsidR="00281874">
        <w:t xml:space="preserve"> regime type on smaller </w:t>
      </w:r>
      <w:r w:rsidR="009006DF">
        <w:t>powers</w:t>
      </w:r>
      <w:r w:rsidR="00281874">
        <w:t xml:space="preserve"> (</w:t>
      </w:r>
      <w:proofErr w:type="spellStart"/>
      <w:r w:rsidR="00281874">
        <w:t>Gunitsky</w:t>
      </w:r>
      <w:proofErr w:type="spellEnd"/>
      <w:r w:rsidR="00281874">
        <w:t xml:space="preserve">, 2017, p. 15). Yet, great powers’ capacity </w:t>
      </w:r>
      <w:r w:rsidR="00DC6F99">
        <w:t xml:space="preserve">to </w:t>
      </w:r>
      <w:r w:rsidR="00281874">
        <w:t xml:space="preserve">reshape the world in their image </w:t>
      </w:r>
      <w:r w:rsidR="00BA556B">
        <w:t xml:space="preserve">is </w:t>
      </w:r>
      <w:r w:rsidR="002F119D">
        <w:t xml:space="preserve">only partly due to </w:t>
      </w:r>
      <w:r w:rsidR="00BA556B">
        <w:t>their o</w:t>
      </w:r>
      <w:r w:rsidR="001859C8">
        <w:t xml:space="preserve">vert </w:t>
      </w:r>
      <w:r w:rsidR="001B2426">
        <w:t xml:space="preserve">coercive capacity </w:t>
      </w:r>
      <w:r w:rsidR="00DC6F99">
        <w:t xml:space="preserve">to </w:t>
      </w:r>
      <w:r w:rsidR="001B2426">
        <w:t>create replica regimes</w:t>
      </w:r>
      <w:r w:rsidR="002F119D">
        <w:t>.</w:t>
      </w:r>
      <w:r w:rsidR="001B2426">
        <w:t xml:space="preserve"> </w:t>
      </w:r>
    </w:p>
    <w:p w14:paraId="0815DAC2" w14:textId="1A27024E" w:rsidR="002F119D" w:rsidRDefault="002F119D" w:rsidP="00ED412C">
      <w:pPr>
        <w:spacing w:line="480" w:lineRule="auto"/>
        <w:ind w:firstLine="720"/>
      </w:pPr>
      <w:r>
        <w:t xml:space="preserve">More </w:t>
      </w:r>
      <w:r w:rsidR="00281874">
        <w:t>significant</w:t>
      </w:r>
      <w:r>
        <w:t xml:space="preserve">, </w:t>
      </w:r>
      <w:proofErr w:type="spellStart"/>
      <w:r>
        <w:t>Gunitsky</w:t>
      </w:r>
      <w:proofErr w:type="spellEnd"/>
      <w:r>
        <w:t xml:space="preserve"> finds, with echoes in Germany’s relations with eastern Europe </w:t>
      </w:r>
      <w:r w:rsidR="00281874">
        <w:t>is</w:t>
      </w:r>
      <w:r>
        <w:t xml:space="preserve"> first</w:t>
      </w:r>
      <w:r w:rsidR="00281874">
        <w:t xml:space="preserve"> of all, </w:t>
      </w:r>
      <w:r>
        <w:t xml:space="preserve">the power of </w:t>
      </w:r>
      <w:r w:rsidRPr="00DC6F99">
        <w:t>inducements.</w:t>
      </w:r>
      <w:r>
        <w:t xml:space="preserve">  A rising power can enlarge its networks of trade and patronage, shifting preferences of coalitions and domestic actors. </w:t>
      </w:r>
      <w:r w:rsidR="008A45FE">
        <w:t xml:space="preserve">In post 1933 </w:t>
      </w:r>
      <w:r w:rsidR="00281874">
        <w:t xml:space="preserve">Germany, </w:t>
      </w:r>
      <w:r w:rsidR="008A45FE">
        <w:t>Nazi</w:t>
      </w:r>
      <w:r>
        <w:t xml:space="preserve"> leadership regarded </w:t>
      </w:r>
      <w:r w:rsidR="008A45FE">
        <w:t xml:space="preserve">trade policy with </w:t>
      </w:r>
      <w:r>
        <w:t xml:space="preserve">central </w:t>
      </w:r>
      <w:r w:rsidR="008A45FE">
        <w:t xml:space="preserve">and eastern </w:t>
      </w:r>
      <w:r>
        <w:t>Europe</w:t>
      </w:r>
      <w:r w:rsidR="008A45FE">
        <w:t xml:space="preserve"> through this merc</w:t>
      </w:r>
      <w:r w:rsidR="00281874">
        <w:t>a</w:t>
      </w:r>
      <w:r w:rsidR="008A45FE">
        <w:t>nt</w:t>
      </w:r>
      <w:r w:rsidR="00281874">
        <w:t>i</w:t>
      </w:r>
      <w:r w:rsidR="008A45FE">
        <w:t xml:space="preserve">list lens: the </w:t>
      </w:r>
      <w:r w:rsidR="00281874">
        <w:t>open pla</w:t>
      </w:r>
      <w:r w:rsidR="004952F4">
        <w:t>ins</w:t>
      </w:r>
      <w:r w:rsidR="00281874">
        <w:t xml:space="preserve"> of central Europe were</w:t>
      </w:r>
      <w:r w:rsidR="008A45FE">
        <w:t xml:space="preserve"> a </w:t>
      </w:r>
      <w:r>
        <w:t xml:space="preserve">source of agricultural goods and raw materials for </w:t>
      </w:r>
      <w:r w:rsidR="008A45FE">
        <w:t>German</w:t>
      </w:r>
      <w:r w:rsidR="00281874">
        <w:t xml:space="preserve">y’s </w:t>
      </w:r>
      <w:r>
        <w:t>military build-up</w:t>
      </w:r>
      <w:r w:rsidR="008A45FE">
        <w:t xml:space="preserve">.  In exchange, these regions would receive credits to buy German </w:t>
      </w:r>
      <w:r w:rsidR="008A45FE">
        <w:lastRenderedPageBreak/>
        <w:t>industrial goods</w:t>
      </w:r>
      <w:r w:rsidR="00281874">
        <w:t>, creating a German sphere of influence running eastwards to the Soviet Union (</w:t>
      </w:r>
      <w:proofErr w:type="spellStart"/>
      <w:r w:rsidR="004952F4" w:rsidRPr="00F0551B">
        <w:rPr>
          <w:color w:val="000000" w:themeColor="text1"/>
        </w:rPr>
        <w:t>Kopstein</w:t>
      </w:r>
      <w:proofErr w:type="spellEnd"/>
      <w:r w:rsidR="004952F4" w:rsidRPr="00F0551B">
        <w:rPr>
          <w:color w:val="000000" w:themeColor="text1"/>
        </w:rPr>
        <w:t xml:space="preserve">, </w:t>
      </w:r>
      <w:r w:rsidR="009006DF" w:rsidRPr="00F0551B">
        <w:rPr>
          <w:color w:val="000000" w:themeColor="text1"/>
        </w:rPr>
        <w:t>2021</w:t>
      </w:r>
      <w:r w:rsidR="004952F4" w:rsidRPr="004952F4">
        <w:rPr>
          <w:color w:val="000000" w:themeColor="text1"/>
          <w:highlight w:val="yellow"/>
        </w:rPr>
        <w:t>;</w:t>
      </w:r>
      <w:r w:rsidR="004952F4" w:rsidRPr="004952F4">
        <w:rPr>
          <w:color w:val="000000" w:themeColor="text1"/>
        </w:rPr>
        <w:t xml:space="preserve"> </w:t>
      </w:r>
      <w:r w:rsidR="00281874">
        <w:t>Hirschman, 1945).</w:t>
      </w:r>
    </w:p>
    <w:p w14:paraId="1F52D6F0" w14:textId="614032B5" w:rsidR="00281874" w:rsidRDefault="00281874" w:rsidP="00ED412C">
      <w:pPr>
        <w:spacing w:line="480" w:lineRule="auto"/>
        <w:ind w:firstLine="720"/>
      </w:pPr>
      <w:r>
        <w:t>A second, equally power</w:t>
      </w:r>
      <w:r w:rsidR="009006DF">
        <w:t>ful</w:t>
      </w:r>
      <w:r>
        <w:t xml:space="preserve"> mechanism is the </w:t>
      </w:r>
      <w:r w:rsidR="009006DF">
        <w:t>force</w:t>
      </w:r>
      <w:r>
        <w:t xml:space="preserve"> of emulation.</w:t>
      </w:r>
      <w:r w:rsidR="004952F4">
        <w:t xml:space="preserve"> </w:t>
      </w:r>
      <w:r w:rsidR="00DC6F99">
        <w:t xml:space="preserve">After </w:t>
      </w:r>
      <w:r w:rsidR="004952F4">
        <w:t xml:space="preserve">Nazi Germany’s apparent success in breaking through the Great Depression of the early 1930s, </w:t>
      </w:r>
      <w:r w:rsidR="009006DF">
        <w:t xml:space="preserve">the </w:t>
      </w:r>
      <w:r w:rsidR="004952F4">
        <w:t xml:space="preserve">British Home Secretary wrote in 1938, “If the </w:t>
      </w:r>
      <w:proofErr w:type="spellStart"/>
      <w:r w:rsidR="004952F4">
        <w:t>Danubian</w:t>
      </w:r>
      <w:proofErr w:type="spellEnd"/>
      <w:r w:rsidR="004952F4">
        <w:t xml:space="preserve"> States begin now to put on the Nazi garb, it will be because imitation is the sincerest form of flattery and because they want to ingratiate themselves in time with their future master” (quoted in </w:t>
      </w:r>
      <w:proofErr w:type="spellStart"/>
      <w:r w:rsidR="004952F4">
        <w:t>Gunitsky</w:t>
      </w:r>
      <w:proofErr w:type="spellEnd"/>
      <w:r w:rsidR="004952F4">
        <w:t xml:space="preserve">, 2017, p. 23). Institutional emulation occurs when smaller states voluntarily imitate what they regard as “pioneer” and high prestige states.  The </w:t>
      </w:r>
      <w:r w:rsidR="0089210D">
        <w:t xml:space="preserve">sudden </w:t>
      </w:r>
      <w:r w:rsidR="004952F4">
        <w:t>rise of a new hegemon—if even a regional hegemon—prompts emulation by reducing uncertainty about the relative success of different models</w:t>
      </w:r>
      <w:r w:rsidR="0089210D">
        <w:t>,</w:t>
      </w:r>
      <w:r w:rsidR="004952F4">
        <w:t xml:space="preserve"> and so can be driven by both material and ideological motivations.  </w:t>
      </w:r>
      <w:r w:rsidR="0089210D">
        <w:t xml:space="preserve">In eastern and central Europe, traditional </w:t>
      </w:r>
      <w:r w:rsidR="004952F4">
        <w:t xml:space="preserve">Conservatives </w:t>
      </w:r>
      <w:r w:rsidR="0089210D">
        <w:t xml:space="preserve">like </w:t>
      </w:r>
      <w:proofErr w:type="spellStart"/>
      <w:r w:rsidR="0089210D">
        <w:t>Miklós</w:t>
      </w:r>
      <w:proofErr w:type="spellEnd"/>
      <w:r w:rsidR="0089210D">
        <w:t xml:space="preserve"> Horthy </w:t>
      </w:r>
      <w:r w:rsidR="009006DF">
        <w:t>nurtured</w:t>
      </w:r>
      <w:r w:rsidR="004952F4">
        <w:t xml:space="preserve"> rocky governing coalitions</w:t>
      </w:r>
      <w:r w:rsidR="0089210D">
        <w:t xml:space="preserve"> with national radicals</w:t>
      </w:r>
      <w:r w:rsidR="004952F4">
        <w:t xml:space="preserve"> in the mid 1930s</w:t>
      </w:r>
      <w:r w:rsidR="0089210D">
        <w:t xml:space="preserve">, </w:t>
      </w:r>
      <w:r w:rsidR="00DC6F99">
        <w:t xml:space="preserve">that </w:t>
      </w:r>
      <w:r w:rsidR="004952F4">
        <w:t>passed “Jewish</w:t>
      </w:r>
      <w:r w:rsidR="0089210D">
        <w:t xml:space="preserve"> laws</w:t>
      </w:r>
      <w:r w:rsidR="004952F4">
        <w:t>” (in 1936 in Poland; 1938 in Romania and Hungary</w:t>
      </w:r>
      <w:r w:rsidR="0089210D">
        <w:t xml:space="preserve">). </w:t>
      </w:r>
      <w:r w:rsidR="004952F4">
        <w:t>Though motivated by anti-Semitism</w:t>
      </w:r>
      <w:r w:rsidR="0089210D">
        <w:t xml:space="preserve">, the ambivalence </w:t>
      </w:r>
      <w:r w:rsidR="009006DF">
        <w:t xml:space="preserve">of Hungary’s older political classes </w:t>
      </w:r>
      <w:r w:rsidR="0089210D">
        <w:t xml:space="preserve">was apparent.  The Romanian Premier Armand </w:t>
      </w:r>
      <w:proofErr w:type="spellStart"/>
      <w:r w:rsidR="0089210D">
        <w:t>Calenescu</w:t>
      </w:r>
      <w:proofErr w:type="spellEnd"/>
      <w:r w:rsidR="0089210D">
        <w:t xml:space="preserve"> felt he had to explain that his government’s new anti-Jewish law had been passed “</w:t>
      </w:r>
      <w:r w:rsidR="0089210D" w:rsidRPr="0089210D">
        <w:rPr>
          <w:i/>
          <w:iCs/>
        </w:rPr>
        <w:t xml:space="preserve">pour calmer </w:t>
      </w:r>
      <w:proofErr w:type="spellStart"/>
      <w:r w:rsidR="0089210D" w:rsidRPr="0089210D">
        <w:rPr>
          <w:i/>
          <w:iCs/>
        </w:rPr>
        <w:t>l’opinion</w:t>
      </w:r>
      <w:proofErr w:type="spellEnd"/>
      <w:r w:rsidR="0089210D" w:rsidRPr="0089210D">
        <w:rPr>
          <w:i/>
          <w:iCs/>
        </w:rPr>
        <w:t xml:space="preserve"> </w:t>
      </w:r>
      <w:proofErr w:type="spellStart"/>
      <w:r w:rsidR="0089210D" w:rsidRPr="0089210D">
        <w:rPr>
          <w:i/>
          <w:iCs/>
        </w:rPr>
        <w:t>publique</w:t>
      </w:r>
      <w:proofErr w:type="spellEnd"/>
      <w:r w:rsidR="0089210D">
        <w:rPr>
          <w:i/>
          <w:iCs/>
        </w:rPr>
        <w:t>,</w:t>
      </w:r>
      <w:r w:rsidR="0089210D">
        <w:t xml:space="preserve">” Polish legislators remarkably described their bill “as an act of necessary cruelty” that they hoped would be carried out without too much “brutality” (Janos, 2000, p. 193). </w:t>
      </w:r>
    </w:p>
    <w:p w14:paraId="08A5EBCB" w14:textId="2BC53847" w:rsidR="002F119D" w:rsidRDefault="0089210D" w:rsidP="007555D9">
      <w:pPr>
        <w:spacing w:line="480" w:lineRule="auto"/>
        <w:ind w:firstLine="720"/>
      </w:pPr>
      <w:r>
        <w:t xml:space="preserve">But these bills set dangerous precedents, and with the rise of Hitler and the growing shadow of Germany’s </w:t>
      </w:r>
      <w:r w:rsidR="008B32D9">
        <w:t xml:space="preserve">ambitions in the east, </w:t>
      </w:r>
      <w:r w:rsidR="00DC6F99">
        <w:t xml:space="preserve">beginning in 1939 </w:t>
      </w:r>
      <w:r w:rsidR="008B32D9">
        <w:t xml:space="preserve">local fascists were empowered to enthusiastically implement their own agendas with encouragement of German military forces. The model and encouragement of a high-status power like Nazi Germany was at the very least a </w:t>
      </w:r>
      <w:r w:rsidR="008B32D9">
        <w:lastRenderedPageBreak/>
        <w:t xml:space="preserve">“permissive cause,” opening the door for the </w:t>
      </w:r>
      <w:r w:rsidR="00DC6F99">
        <w:t xml:space="preserve">whole </w:t>
      </w:r>
      <w:r w:rsidR="008B32D9">
        <w:t>destruction of Europe’s Jews</w:t>
      </w:r>
      <w:r w:rsidR="00DC6F99">
        <w:t xml:space="preserve"> over the next six years.</w:t>
      </w:r>
    </w:p>
    <w:p w14:paraId="20C79348" w14:textId="52E35C27" w:rsidR="002A524D" w:rsidRPr="008B32D9" w:rsidRDefault="002A524D" w:rsidP="008B32D9">
      <w:pPr>
        <w:spacing w:line="480" w:lineRule="auto"/>
        <w:jc w:val="center"/>
        <w:rPr>
          <w:b/>
          <w:bCs/>
        </w:rPr>
      </w:pPr>
      <w:r w:rsidRPr="008B32D9">
        <w:rPr>
          <w:b/>
          <w:bCs/>
        </w:rPr>
        <w:t>When Democracy Dies in a (Global) Hegemon</w:t>
      </w:r>
    </w:p>
    <w:p w14:paraId="77532B31" w14:textId="335456A8" w:rsidR="002A524D" w:rsidRDefault="008B32D9" w:rsidP="00CE7598">
      <w:pPr>
        <w:spacing w:line="480" w:lineRule="auto"/>
      </w:pPr>
      <w:r>
        <w:rPr>
          <w:b/>
          <w:bCs/>
        </w:rPr>
        <w:tab/>
      </w:r>
      <w:r w:rsidR="00DC6F99">
        <w:t>The Holocaust</w:t>
      </w:r>
      <w:r>
        <w:t xml:space="preserve"> was not the outgrowth of democratization gone wrong. It was the opposite.  It was </w:t>
      </w:r>
      <w:r w:rsidR="00DC6F99">
        <w:t xml:space="preserve">made possible only </w:t>
      </w:r>
      <w:r>
        <w:t xml:space="preserve">when democracy </w:t>
      </w:r>
      <w:r w:rsidRPr="00E64E61">
        <w:rPr>
          <w:i/>
          <w:iCs/>
        </w:rPr>
        <w:t>died</w:t>
      </w:r>
      <w:r w:rsidR="00DC6F99">
        <w:rPr>
          <w:i/>
          <w:iCs/>
        </w:rPr>
        <w:t>---</w:t>
      </w:r>
      <w:r w:rsidRPr="00E64E61">
        <w:rPr>
          <w:i/>
          <w:iCs/>
        </w:rPr>
        <w:t xml:space="preserve"> </w:t>
      </w:r>
      <w:r w:rsidR="00DC6F99">
        <w:t xml:space="preserve">along with its </w:t>
      </w:r>
      <w:r w:rsidR="00E64E61">
        <w:t>attendant guarantees, including the rule of law and the civil libert</w:t>
      </w:r>
      <w:r w:rsidR="007555D9">
        <w:t>y protections of</w:t>
      </w:r>
      <w:r w:rsidR="00E64E61">
        <w:t xml:space="preserve"> citizenship</w:t>
      </w:r>
      <w:r w:rsidR="00DC6F99">
        <w:t xml:space="preserve">.  But most importantly, it was when democracy died in 1930s Germany, a (regional) hegemon, that reverberations were felt across Europe and the world. New patterns of inducement and emulation were unleashed.  Fascism diffused. And </w:t>
      </w:r>
      <w:r w:rsidR="00460650">
        <w:t>so did the Holocaust.</w:t>
      </w:r>
    </w:p>
    <w:p w14:paraId="39B0EADB" w14:textId="532E9FE9" w:rsidR="00726085" w:rsidRDefault="00DC6F99" w:rsidP="00CE7598">
      <w:pPr>
        <w:spacing w:line="480" w:lineRule="auto"/>
      </w:pPr>
      <w:r>
        <w:tab/>
        <w:t>There is a lesson for our own era.  Too often we think of the contemporary challenges to democracy as driven</w:t>
      </w:r>
      <w:r w:rsidR="00477591">
        <w:t xml:space="preserve"> strictly</w:t>
      </w:r>
      <w:r>
        <w:t xml:space="preserve"> by internal problems</w:t>
      </w:r>
      <w:r w:rsidR="00460650">
        <w:t>. If p</w:t>
      </w:r>
      <w:r>
        <w:t xml:space="preserve">olarization, demographic challenges, </w:t>
      </w:r>
      <w:r w:rsidR="00460650">
        <w:t xml:space="preserve">and </w:t>
      </w:r>
      <w:r>
        <w:t>economic inequality</w:t>
      </w:r>
      <w:r w:rsidR="00460650">
        <w:t xml:space="preserve"> are present, a democracy is a risk; if we are lucky enough to live in a country where such challenges are </w:t>
      </w:r>
      <w:r w:rsidR="00726085">
        <w:t xml:space="preserve">successfully </w:t>
      </w:r>
      <w:r w:rsidR="00460650">
        <w:t>managed, democracy is thought to be safe.</w:t>
      </w:r>
      <w:r w:rsidR="007555D9">
        <w:t xml:space="preserve">  </w:t>
      </w:r>
      <w:r w:rsidR="00983AE1">
        <w:t xml:space="preserve">But we must remember to avoid the myth of the closed natural system. </w:t>
      </w:r>
      <w:r w:rsidR="00477591">
        <w:t xml:space="preserve"> </w:t>
      </w:r>
      <w:r w:rsidR="00460650">
        <w:t>I</w:t>
      </w:r>
      <w:r>
        <w:t>f democracy dies in a global hegemo</w:t>
      </w:r>
      <w:r w:rsidR="00477591">
        <w:t xml:space="preserve">n </w:t>
      </w:r>
      <w:r>
        <w:t>like the United States</w:t>
      </w:r>
      <w:r w:rsidR="00460650">
        <w:t xml:space="preserve">, </w:t>
      </w:r>
      <w:r w:rsidR="00726085">
        <w:t>the reverberations would be massive.</w:t>
      </w:r>
      <w:r w:rsidR="00477591">
        <w:t xml:space="preserve"> </w:t>
      </w:r>
      <w:r w:rsidR="00726085">
        <w:t xml:space="preserve"> </w:t>
      </w:r>
      <w:r>
        <w:t xml:space="preserve">Not only </w:t>
      </w:r>
      <w:r w:rsidR="00983AE1">
        <w:t>w</w:t>
      </w:r>
      <w:r>
        <w:t xml:space="preserve">ould America’s model of democracy be tarnished.  </w:t>
      </w:r>
      <w:proofErr w:type="gramStart"/>
      <w:r w:rsidR="00460650">
        <w:t>But,</w:t>
      </w:r>
      <w:proofErr w:type="gramEnd"/>
      <w:r w:rsidR="00460650">
        <w:t xml:space="preserve"> also the </w:t>
      </w:r>
      <w:r w:rsidR="00477591">
        <w:t>lessons of 1930s Europe</w:t>
      </w:r>
      <w:r w:rsidR="00983AE1">
        <w:t xml:space="preserve"> </w:t>
      </w:r>
      <w:r w:rsidR="00477591">
        <w:t xml:space="preserve">suggest it </w:t>
      </w:r>
      <w:r w:rsidR="00983AE1">
        <w:t>w</w:t>
      </w:r>
      <w:r w:rsidR="00477591">
        <w:t xml:space="preserve">ould </w:t>
      </w:r>
      <w:r>
        <w:t>become a source of emulation for would-be autocrats and demagogues around the world.</w:t>
      </w:r>
      <w:r w:rsidR="007555D9">
        <w:t xml:space="preserve"> </w:t>
      </w:r>
    </w:p>
    <w:p w14:paraId="2CF1289A" w14:textId="2D451B97" w:rsidR="00DC6F99" w:rsidRDefault="00460650" w:rsidP="00726085">
      <w:pPr>
        <w:spacing w:line="480" w:lineRule="auto"/>
        <w:ind w:firstLine="720"/>
      </w:pPr>
      <w:r>
        <w:t xml:space="preserve">In many ways, we have already begun to see the warning signs. At times, it feels that in </w:t>
      </w:r>
      <w:r w:rsidR="00211AE4">
        <w:t xml:space="preserve">the </w:t>
      </w:r>
      <w:r>
        <w:t xml:space="preserve">post-2016 world, </w:t>
      </w:r>
      <w:r w:rsidR="00726085">
        <w:t xml:space="preserve">as American democracy has decayed, </w:t>
      </w:r>
      <w:r>
        <w:t xml:space="preserve">we have begun to witness the resurrection of a fascist international in established democracies.  </w:t>
      </w:r>
      <w:r w:rsidR="00726085">
        <w:t>The rise of radical right populism in a hegemonic power inspires imitators using similar rhetoric, similar tactics</w:t>
      </w:r>
      <w:r w:rsidR="00704A5E">
        <w:t xml:space="preserve">, and a similar assault on the basic norms of democracy.  </w:t>
      </w:r>
      <w:r w:rsidR="00477591">
        <w:t xml:space="preserve">We have never </w:t>
      </w:r>
      <w:r w:rsidR="00983AE1">
        <w:t xml:space="preserve">witnessed </w:t>
      </w:r>
      <w:r w:rsidR="00477591">
        <w:t>democracy die in a global hegemon</w:t>
      </w:r>
      <w:r w:rsidR="00726085">
        <w:t xml:space="preserve"> in the modern era</w:t>
      </w:r>
      <w:r w:rsidR="00477591">
        <w:t xml:space="preserve">. </w:t>
      </w:r>
      <w:r w:rsidR="00726085">
        <w:t xml:space="preserve"> For this reason, </w:t>
      </w:r>
      <w:r w:rsidR="00704A5E">
        <w:t xml:space="preserve">the </w:t>
      </w:r>
      <w:r w:rsidR="00726085">
        <w:t xml:space="preserve">Holocaust </w:t>
      </w:r>
      <w:r w:rsidR="00704A5E">
        <w:t>offers an important warning:</w:t>
      </w:r>
      <w:r w:rsidR="00726085">
        <w:t xml:space="preserve"> </w:t>
      </w:r>
      <w:r w:rsidR="007555D9">
        <w:lastRenderedPageBreak/>
        <w:t>local processes of political violence</w:t>
      </w:r>
      <w:r w:rsidR="00726085">
        <w:t xml:space="preserve">, opportunism, and </w:t>
      </w:r>
      <w:r w:rsidR="007555D9">
        <w:t>dem</w:t>
      </w:r>
      <w:r>
        <w:t>agoguer</w:t>
      </w:r>
      <w:r w:rsidR="007555D9">
        <w:t xml:space="preserve">y </w:t>
      </w:r>
      <w:r w:rsidR="00726085">
        <w:t xml:space="preserve">that shaped the every-day experiences of the Holocaust were triggered </w:t>
      </w:r>
      <w:r w:rsidR="00704A5E">
        <w:t>when</w:t>
      </w:r>
      <w:r w:rsidR="00211AE4">
        <w:t xml:space="preserve"> </w:t>
      </w:r>
      <w:r w:rsidR="00704A5E">
        <w:t>democracy died in a powerful nation.</w:t>
      </w:r>
      <w:r w:rsidR="00726085">
        <w:t xml:space="preserve"> With this insight in hand, </w:t>
      </w:r>
      <w:r w:rsidR="00704A5E">
        <w:t xml:space="preserve">as resilient as some democracies may appear, </w:t>
      </w:r>
      <w:r w:rsidR="00726085">
        <w:t xml:space="preserve">we must remember </w:t>
      </w:r>
      <w:r>
        <w:t>all</w:t>
      </w:r>
      <w:r w:rsidR="00983AE1">
        <w:t xml:space="preserve"> our political systems</w:t>
      </w:r>
      <w:r w:rsidR="00704A5E">
        <w:t xml:space="preserve"> remain</w:t>
      </w:r>
      <w:r w:rsidR="00983AE1">
        <w:t xml:space="preserve"> vulnerable.</w:t>
      </w:r>
    </w:p>
    <w:p w14:paraId="0836AB9D" w14:textId="77777777" w:rsidR="00211AE4" w:rsidRDefault="00211AE4" w:rsidP="00211AE4">
      <w:pPr>
        <w:spacing w:line="480" w:lineRule="auto"/>
      </w:pPr>
    </w:p>
    <w:p w14:paraId="3E9D63F1" w14:textId="44DDB35C" w:rsidR="00211AE4" w:rsidRDefault="00211AE4" w:rsidP="00F0551B">
      <w:pPr>
        <w:spacing w:line="480" w:lineRule="auto"/>
      </w:pPr>
      <w:r>
        <w:t>References</w:t>
      </w:r>
    </w:p>
    <w:p w14:paraId="5EBA2CD3" w14:textId="1CF38429" w:rsidR="00211AE4" w:rsidRDefault="00211AE4" w:rsidP="00211AE4">
      <w:proofErr w:type="spellStart"/>
      <w:r>
        <w:t>Bartov</w:t>
      </w:r>
      <w:proofErr w:type="spellEnd"/>
      <w:r>
        <w:t xml:space="preserve">, Omer. 2018. </w:t>
      </w:r>
      <w:r w:rsidRPr="00F0551B">
        <w:rPr>
          <w:i/>
          <w:iCs/>
        </w:rPr>
        <w:t xml:space="preserve">Anatomy of a Genocide: The Life and Death of a Town Called </w:t>
      </w:r>
      <w:proofErr w:type="spellStart"/>
      <w:r w:rsidRPr="00F0551B">
        <w:rPr>
          <w:i/>
          <w:iCs/>
        </w:rPr>
        <w:t>Buczacz</w:t>
      </w:r>
      <w:proofErr w:type="spellEnd"/>
      <w:r>
        <w:t>. New York: Simon and Schuster.</w:t>
      </w:r>
    </w:p>
    <w:p w14:paraId="4521D2BD" w14:textId="3D9E7F31" w:rsidR="00D402B9" w:rsidRDefault="00D402B9" w:rsidP="00211AE4"/>
    <w:p w14:paraId="0EF6ED3B" w14:textId="1F6C5346" w:rsidR="004D17D0" w:rsidRPr="003F4A35" w:rsidRDefault="004D17D0" w:rsidP="004D17D0">
      <w:r w:rsidRPr="00F0551B">
        <w:rPr>
          <w:color w:val="222222"/>
          <w:shd w:val="clear" w:color="auto" w:fill="FFFFFF"/>
        </w:rPr>
        <w:t>Bendix, Reinhard. 1967. Tradition and Modernity Reconsidered. </w:t>
      </w:r>
      <w:r w:rsidRPr="00F0551B">
        <w:rPr>
          <w:i/>
          <w:iCs/>
          <w:color w:val="222222"/>
          <w:shd w:val="clear" w:color="auto" w:fill="FFFFFF"/>
        </w:rPr>
        <w:t>Comparative Studies in Society and History</w:t>
      </w:r>
      <w:r w:rsidRPr="00F0551B">
        <w:rPr>
          <w:color w:val="222222"/>
          <w:shd w:val="clear" w:color="auto" w:fill="FFFFFF"/>
        </w:rPr>
        <w:t>, </w:t>
      </w:r>
      <w:r w:rsidRPr="00F0551B">
        <w:rPr>
          <w:i/>
          <w:iCs/>
          <w:color w:val="222222"/>
          <w:shd w:val="clear" w:color="auto" w:fill="FFFFFF"/>
        </w:rPr>
        <w:t xml:space="preserve">9 </w:t>
      </w:r>
      <w:r w:rsidRPr="00F0551B">
        <w:rPr>
          <w:color w:val="222222"/>
          <w:shd w:val="clear" w:color="auto" w:fill="FFFFFF"/>
        </w:rPr>
        <w:t>(3), 292-346.</w:t>
      </w:r>
    </w:p>
    <w:p w14:paraId="577F8963" w14:textId="52C691CD" w:rsidR="0023144E" w:rsidRDefault="0023144E" w:rsidP="00211AE4"/>
    <w:p w14:paraId="3FF5BD8C" w14:textId="15F1035D" w:rsidR="0023144E" w:rsidRPr="0023144E" w:rsidRDefault="0023144E" w:rsidP="0023144E">
      <w:r w:rsidRPr="00F0551B">
        <w:rPr>
          <w:color w:val="222222"/>
          <w:shd w:val="clear" w:color="auto" w:fill="FFFFFF"/>
        </w:rPr>
        <w:t xml:space="preserve">Cramer, Katherine 2016. </w:t>
      </w:r>
      <w:r w:rsidRPr="00F0551B">
        <w:rPr>
          <w:i/>
          <w:iCs/>
          <w:color w:val="222222"/>
          <w:shd w:val="clear" w:color="auto" w:fill="FFFFFF"/>
        </w:rPr>
        <w:t xml:space="preserve">The </w:t>
      </w:r>
      <w:r>
        <w:rPr>
          <w:i/>
          <w:iCs/>
          <w:color w:val="222222"/>
          <w:shd w:val="clear" w:color="auto" w:fill="FFFFFF"/>
        </w:rPr>
        <w:t>P</w:t>
      </w:r>
      <w:r w:rsidRPr="00F0551B">
        <w:rPr>
          <w:i/>
          <w:iCs/>
          <w:color w:val="222222"/>
          <w:shd w:val="clear" w:color="auto" w:fill="FFFFFF"/>
        </w:rPr>
        <w:t>olitics of Resentment: Rural Consciousness in Wisconsin and the Rise of Scott Walker</w:t>
      </w:r>
      <w:r w:rsidRPr="00F0551B">
        <w:rPr>
          <w:color w:val="222222"/>
          <w:shd w:val="clear" w:color="auto" w:fill="FFFFFF"/>
        </w:rPr>
        <w:t>. Chicago: University of Chicago Press.</w:t>
      </w:r>
    </w:p>
    <w:p w14:paraId="47CDA87B" w14:textId="37C55EC3" w:rsidR="003E718A" w:rsidRDefault="003E718A" w:rsidP="00211AE4"/>
    <w:p w14:paraId="29D11DC8" w14:textId="64D02DC8" w:rsidR="003E718A" w:rsidRDefault="003E718A" w:rsidP="00211AE4">
      <w:proofErr w:type="spellStart"/>
      <w:r>
        <w:t>Esping</w:t>
      </w:r>
      <w:proofErr w:type="spellEnd"/>
      <w:r>
        <w:t xml:space="preserve">-Andersen. 1990. </w:t>
      </w:r>
      <w:r w:rsidRPr="00F0551B">
        <w:rPr>
          <w:i/>
          <w:iCs/>
        </w:rPr>
        <w:t>Three Worlds of Welfare Capitalism</w:t>
      </w:r>
      <w:r>
        <w:t>. Princeton NJ: Princeton University Press.</w:t>
      </w:r>
    </w:p>
    <w:p w14:paraId="21793D1B" w14:textId="4329FA6B" w:rsidR="003E718A" w:rsidRDefault="003E718A" w:rsidP="00211AE4"/>
    <w:p w14:paraId="3C78AAE5" w14:textId="4324C852" w:rsidR="003E718A" w:rsidRDefault="003E718A" w:rsidP="00211AE4">
      <w:proofErr w:type="spellStart"/>
      <w:r>
        <w:t>Gerschenkron</w:t>
      </w:r>
      <w:proofErr w:type="spellEnd"/>
      <w:r>
        <w:t xml:space="preserve">, Alexander. 1962. </w:t>
      </w:r>
      <w:r w:rsidRPr="00F0551B">
        <w:rPr>
          <w:i/>
          <w:iCs/>
        </w:rPr>
        <w:t>Economic Backwardness in Historical Perspective</w:t>
      </w:r>
      <w:r>
        <w:t>. Cambridge MA: Harvard University Press.</w:t>
      </w:r>
    </w:p>
    <w:p w14:paraId="7525DA63" w14:textId="4837F7AF" w:rsidR="00D402B9" w:rsidRDefault="00D402B9" w:rsidP="00211AE4"/>
    <w:p w14:paraId="3F5FBA43" w14:textId="469C315C" w:rsidR="00013E20" w:rsidRPr="00013E20" w:rsidRDefault="00013E20" w:rsidP="00013E20">
      <w:r w:rsidRPr="00F0551B">
        <w:rPr>
          <w:color w:val="222222"/>
          <w:shd w:val="clear" w:color="auto" w:fill="FFFFFF"/>
        </w:rPr>
        <w:t>Gibson, Edward. 2013. </w:t>
      </w:r>
      <w:r w:rsidRPr="00F0551B">
        <w:rPr>
          <w:i/>
          <w:iCs/>
          <w:color w:val="222222"/>
          <w:shd w:val="clear" w:color="auto" w:fill="FFFFFF"/>
        </w:rPr>
        <w:t>Boundary Control: Subnational Authoritarianism in Federal Democracies</w:t>
      </w:r>
      <w:r w:rsidRPr="00F0551B">
        <w:rPr>
          <w:color w:val="222222"/>
          <w:shd w:val="clear" w:color="auto" w:fill="FFFFFF"/>
        </w:rPr>
        <w:t>. Cambridge: Cambridge University Press.</w:t>
      </w:r>
    </w:p>
    <w:p w14:paraId="105E2A0A" w14:textId="077F6D78" w:rsidR="0083286A" w:rsidRDefault="0083286A" w:rsidP="00211AE4"/>
    <w:p w14:paraId="3E975209" w14:textId="1C3195F8" w:rsidR="0083286A" w:rsidRDefault="0083286A" w:rsidP="00211AE4">
      <w:proofErr w:type="spellStart"/>
      <w:r>
        <w:t>Gunitsky</w:t>
      </w:r>
      <w:proofErr w:type="spellEnd"/>
      <w:r>
        <w:t xml:space="preserve">, Seva. 2017. </w:t>
      </w:r>
      <w:r w:rsidRPr="00F0551B">
        <w:rPr>
          <w:i/>
          <w:iCs/>
        </w:rPr>
        <w:t>Aftershocks: Great Powers and Domestic Reforms in the Twentieth Century</w:t>
      </w:r>
      <w:r>
        <w:t>. Princeton NJ: Princeton University Press.</w:t>
      </w:r>
    </w:p>
    <w:p w14:paraId="1FE549DF" w14:textId="3A4FAA4E" w:rsidR="00211AE4" w:rsidRDefault="00211AE4" w:rsidP="00211AE4"/>
    <w:p w14:paraId="1D455851" w14:textId="711E737B" w:rsidR="00211AE4" w:rsidRDefault="003E718A" w:rsidP="00211AE4">
      <w:r>
        <w:t xml:space="preserve">Hall, Peter A. and David Soskice. 2001. </w:t>
      </w:r>
      <w:r w:rsidRPr="00F0551B">
        <w:rPr>
          <w:i/>
          <w:iCs/>
        </w:rPr>
        <w:t>Varieties of Capitalism: The Institutional Foundations of Comparative Advantage</w:t>
      </w:r>
      <w:r>
        <w:t>. Oxford UK: Oxford University Press.</w:t>
      </w:r>
    </w:p>
    <w:p w14:paraId="35F7E531" w14:textId="77777777" w:rsidR="004D17D0" w:rsidRDefault="004D17D0" w:rsidP="004D17D0">
      <w:pPr>
        <w:rPr>
          <w:rFonts w:ascii="Arial" w:hAnsi="Arial" w:cs="Arial"/>
          <w:color w:val="222222"/>
          <w:sz w:val="20"/>
          <w:szCs w:val="20"/>
          <w:shd w:val="clear" w:color="auto" w:fill="FFFFFF"/>
        </w:rPr>
      </w:pPr>
    </w:p>
    <w:p w14:paraId="23F40F02" w14:textId="4E21C00D" w:rsidR="004D17D0" w:rsidRPr="004D17D0" w:rsidRDefault="004D17D0" w:rsidP="004D17D0">
      <w:proofErr w:type="spellStart"/>
      <w:r w:rsidRPr="00F0551B">
        <w:rPr>
          <w:color w:val="222222"/>
          <w:shd w:val="clear" w:color="auto" w:fill="FFFFFF"/>
        </w:rPr>
        <w:t>Herrigel</w:t>
      </w:r>
      <w:proofErr w:type="spellEnd"/>
      <w:r w:rsidRPr="00F0551B">
        <w:rPr>
          <w:color w:val="222222"/>
          <w:shd w:val="clear" w:color="auto" w:fill="FFFFFF"/>
        </w:rPr>
        <w:t xml:space="preserve"> Gary. 2000. Industrial Constructions: The Sources of German Industrial Power. Cambridge: Cambridge University Press.</w:t>
      </w:r>
    </w:p>
    <w:p w14:paraId="6A25DD23" w14:textId="77777777" w:rsidR="003E718A" w:rsidRDefault="003E718A" w:rsidP="00211AE4"/>
    <w:p w14:paraId="03996BAD" w14:textId="49A16AB2" w:rsidR="00211AE4" w:rsidRDefault="00211AE4" w:rsidP="00211AE4">
      <w:proofErr w:type="spellStart"/>
      <w:r w:rsidRPr="00211AE4">
        <w:t>Hirschmann</w:t>
      </w:r>
      <w:proofErr w:type="spellEnd"/>
      <w:r w:rsidRPr="00211AE4">
        <w:t xml:space="preserve">, Albert O. 1945. </w:t>
      </w:r>
      <w:r w:rsidRPr="00F0551B">
        <w:rPr>
          <w:i/>
          <w:iCs/>
        </w:rPr>
        <w:t>National Power and the Structure of Foreign Trade</w:t>
      </w:r>
      <w:r w:rsidRPr="00211AE4">
        <w:t>. Berkeley CA: University of California Press.</w:t>
      </w:r>
    </w:p>
    <w:p w14:paraId="5087067B" w14:textId="67107206" w:rsidR="003E718A" w:rsidRDefault="003E718A" w:rsidP="00211AE4"/>
    <w:p w14:paraId="7CF34C1C" w14:textId="325407D4" w:rsidR="003E718A" w:rsidRPr="00211AE4" w:rsidRDefault="003E718A" w:rsidP="00211AE4">
      <w:r>
        <w:t xml:space="preserve">Iverson, Torben and David Soskice. 2020. </w:t>
      </w:r>
      <w:r w:rsidRPr="00F0551B">
        <w:rPr>
          <w:i/>
          <w:iCs/>
        </w:rPr>
        <w:t>Democracy and Prosperity: Reinventing Capitalism through a Turbulent Century</w:t>
      </w:r>
      <w:r>
        <w:t>. Princeton NJ: Princeton University Press.</w:t>
      </w:r>
    </w:p>
    <w:p w14:paraId="54D40444" w14:textId="77777777" w:rsidR="00211AE4" w:rsidRDefault="00211AE4" w:rsidP="00211AE4"/>
    <w:p w14:paraId="6DADFD22" w14:textId="2C7E9470" w:rsidR="00211AE4" w:rsidRDefault="00211AE4" w:rsidP="00211AE4">
      <w:r w:rsidRPr="00211AE4">
        <w:t xml:space="preserve">Janos Andrew C. 2000. </w:t>
      </w:r>
      <w:r w:rsidRPr="00F0551B">
        <w:rPr>
          <w:i/>
          <w:iCs/>
        </w:rPr>
        <w:t xml:space="preserve">East-Central Europe in the Modern World: The Small States of the Borderlands from Pre- to </w:t>
      </w:r>
      <w:proofErr w:type="spellStart"/>
      <w:r w:rsidRPr="00F0551B">
        <w:rPr>
          <w:i/>
          <w:iCs/>
        </w:rPr>
        <w:t>Postcommunism</w:t>
      </w:r>
      <w:proofErr w:type="spellEnd"/>
      <w:r w:rsidRPr="00211AE4">
        <w:t>. Stanford CA: Stanford University Press.</w:t>
      </w:r>
    </w:p>
    <w:p w14:paraId="0F115DEA" w14:textId="284C8997" w:rsidR="0083286A" w:rsidRDefault="0083286A" w:rsidP="00211AE4"/>
    <w:p w14:paraId="1B472672" w14:textId="514FD065" w:rsidR="0083286A" w:rsidRDefault="0083286A" w:rsidP="00211AE4">
      <w:proofErr w:type="spellStart"/>
      <w:r>
        <w:t>Kalyvas</w:t>
      </w:r>
      <w:proofErr w:type="spellEnd"/>
      <w:r>
        <w:t xml:space="preserve">, </w:t>
      </w:r>
      <w:proofErr w:type="spellStart"/>
      <w:r>
        <w:t>Stathis</w:t>
      </w:r>
      <w:proofErr w:type="spellEnd"/>
      <w:r>
        <w:t xml:space="preserve">. 2006. </w:t>
      </w:r>
      <w:r w:rsidRPr="00F0551B">
        <w:rPr>
          <w:i/>
          <w:iCs/>
        </w:rPr>
        <w:t>The Logic of Violence in Civil War</w:t>
      </w:r>
      <w:r>
        <w:t>. New York: Cambridge University Press</w:t>
      </w:r>
    </w:p>
    <w:p w14:paraId="217C27D6" w14:textId="77777777" w:rsidR="00211AE4" w:rsidRDefault="00211AE4" w:rsidP="00F0551B"/>
    <w:p w14:paraId="5962CB37" w14:textId="35531BCB" w:rsidR="00211AE4" w:rsidRDefault="00211AE4" w:rsidP="00211AE4">
      <w:r>
        <w:t xml:space="preserve">Kopstein, Jeffrey S. 2021. “Liberal, Fascist, and Communist Legacies in Central and Eastern Europe.” in </w:t>
      </w:r>
      <w:proofErr w:type="spellStart"/>
      <w:r>
        <w:t>Zsuzsa</w:t>
      </w:r>
      <w:proofErr w:type="spellEnd"/>
      <w:r>
        <w:t xml:space="preserve"> </w:t>
      </w:r>
      <w:proofErr w:type="spellStart"/>
      <w:r>
        <w:t>Csergo</w:t>
      </w:r>
      <w:proofErr w:type="spellEnd"/>
      <w:r>
        <w:t xml:space="preserve">, </w:t>
      </w:r>
      <w:proofErr w:type="spellStart"/>
      <w:r>
        <w:t>Daina</w:t>
      </w:r>
      <w:proofErr w:type="spellEnd"/>
      <w:r>
        <w:t xml:space="preserve"> </w:t>
      </w:r>
      <w:proofErr w:type="spellStart"/>
      <w:r>
        <w:t>Egletis</w:t>
      </w:r>
      <w:proofErr w:type="spellEnd"/>
      <w:r>
        <w:t xml:space="preserve">, and Paula Pickering eds. </w:t>
      </w:r>
      <w:r w:rsidRPr="00F0551B">
        <w:rPr>
          <w:i/>
          <w:iCs/>
        </w:rPr>
        <w:t>Central and East European Politics</w:t>
      </w:r>
      <w:r>
        <w:t xml:space="preserve">. New York: Rowman and Littlefield. </w:t>
      </w:r>
    </w:p>
    <w:p w14:paraId="505E0646" w14:textId="422388DE" w:rsidR="0083286A" w:rsidRDefault="0083286A" w:rsidP="00211AE4"/>
    <w:p w14:paraId="68467387" w14:textId="35A7F621" w:rsidR="0083286A" w:rsidRDefault="0083286A" w:rsidP="00211AE4">
      <w:r>
        <w:t xml:space="preserve">Kopstein, Jeffrey S. and Jason Wittenberg. 2018. </w:t>
      </w:r>
      <w:r w:rsidRPr="00F0551B">
        <w:rPr>
          <w:i/>
          <w:iCs/>
        </w:rPr>
        <w:t>Intimate Violence: Anti-Jewish Pogroms on the Eve of the Holocaust</w:t>
      </w:r>
      <w:r>
        <w:t>. Ithaca NY: Cornell University Press.</w:t>
      </w:r>
    </w:p>
    <w:p w14:paraId="2FB7D3B8" w14:textId="77777777" w:rsidR="0023144E" w:rsidRPr="0023144E" w:rsidRDefault="0023144E" w:rsidP="0023144E"/>
    <w:p w14:paraId="753486E7" w14:textId="07AD9E40" w:rsidR="0023144E" w:rsidRPr="0023144E" w:rsidRDefault="0023144E" w:rsidP="0023144E">
      <w:proofErr w:type="spellStart"/>
      <w:r w:rsidRPr="00F0551B">
        <w:rPr>
          <w:color w:val="222222"/>
          <w:shd w:val="clear" w:color="auto" w:fill="FFFFFF"/>
        </w:rPr>
        <w:t>Levitsky</w:t>
      </w:r>
      <w:proofErr w:type="spellEnd"/>
      <w:r w:rsidRPr="00F0551B">
        <w:rPr>
          <w:color w:val="222222"/>
          <w:shd w:val="clear" w:color="auto" w:fill="FFFFFF"/>
        </w:rPr>
        <w:t>, Steven and Lucan Way. 2010. </w:t>
      </w:r>
      <w:r w:rsidRPr="00F0551B">
        <w:rPr>
          <w:i/>
          <w:iCs/>
          <w:color w:val="222222"/>
          <w:shd w:val="clear" w:color="auto" w:fill="FFFFFF"/>
        </w:rPr>
        <w:t>Competitive Authoritarianism: Hybrid regimes after the Cold War</w:t>
      </w:r>
      <w:r w:rsidRPr="00F0551B">
        <w:rPr>
          <w:color w:val="222222"/>
          <w:shd w:val="clear" w:color="auto" w:fill="FFFFFF"/>
        </w:rPr>
        <w:t>. Cambridge: Cambridge University Press.</w:t>
      </w:r>
    </w:p>
    <w:p w14:paraId="32A67999" w14:textId="3793BD05" w:rsidR="003E718A" w:rsidRPr="00635270" w:rsidRDefault="003E718A" w:rsidP="00211AE4"/>
    <w:p w14:paraId="26283830" w14:textId="2930F79F" w:rsidR="00635270" w:rsidRPr="00635270" w:rsidRDefault="00635270" w:rsidP="00635270">
      <w:r w:rsidRPr="00F0551B">
        <w:rPr>
          <w:color w:val="222222"/>
          <w:shd w:val="clear" w:color="auto" w:fill="FFFFFF"/>
        </w:rPr>
        <w:t xml:space="preserve">Lieberman, Evan. 2009. </w:t>
      </w:r>
      <w:r w:rsidRPr="00F0551B">
        <w:rPr>
          <w:i/>
          <w:iCs/>
          <w:color w:val="222222"/>
          <w:shd w:val="clear" w:color="auto" w:fill="FFFFFF"/>
        </w:rPr>
        <w:t xml:space="preserve">Boundaries of </w:t>
      </w:r>
      <w:r>
        <w:rPr>
          <w:i/>
          <w:iCs/>
          <w:color w:val="222222"/>
          <w:shd w:val="clear" w:color="auto" w:fill="FFFFFF"/>
        </w:rPr>
        <w:t>C</w:t>
      </w:r>
      <w:r w:rsidRPr="00F0551B">
        <w:rPr>
          <w:i/>
          <w:iCs/>
          <w:color w:val="222222"/>
          <w:shd w:val="clear" w:color="auto" w:fill="FFFFFF"/>
        </w:rPr>
        <w:t xml:space="preserve">ontagion: How </w:t>
      </w:r>
      <w:r>
        <w:rPr>
          <w:i/>
          <w:iCs/>
          <w:color w:val="222222"/>
          <w:shd w:val="clear" w:color="auto" w:fill="FFFFFF"/>
        </w:rPr>
        <w:t>E</w:t>
      </w:r>
      <w:r w:rsidRPr="00F0551B">
        <w:rPr>
          <w:i/>
          <w:iCs/>
          <w:color w:val="222222"/>
          <w:shd w:val="clear" w:color="auto" w:fill="FFFFFF"/>
        </w:rPr>
        <w:t xml:space="preserve">thnic </w:t>
      </w:r>
      <w:r>
        <w:rPr>
          <w:i/>
          <w:iCs/>
          <w:color w:val="222222"/>
          <w:shd w:val="clear" w:color="auto" w:fill="FFFFFF"/>
        </w:rPr>
        <w:t>P</w:t>
      </w:r>
      <w:r w:rsidRPr="00F0551B">
        <w:rPr>
          <w:i/>
          <w:iCs/>
          <w:color w:val="222222"/>
          <w:shd w:val="clear" w:color="auto" w:fill="FFFFFF"/>
        </w:rPr>
        <w:t xml:space="preserve">olitics </w:t>
      </w:r>
      <w:proofErr w:type="gramStart"/>
      <w:r w:rsidRPr="00F0551B">
        <w:rPr>
          <w:i/>
          <w:iCs/>
          <w:color w:val="222222"/>
          <w:shd w:val="clear" w:color="auto" w:fill="FFFFFF"/>
        </w:rPr>
        <w:t>have</w:t>
      </w:r>
      <w:proofErr w:type="gramEnd"/>
      <w:r w:rsidRPr="00F0551B">
        <w:rPr>
          <w:i/>
          <w:iCs/>
          <w:color w:val="222222"/>
          <w:shd w:val="clear" w:color="auto" w:fill="FFFFFF"/>
        </w:rPr>
        <w:t xml:space="preserve"> </w:t>
      </w:r>
      <w:r>
        <w:rPr>
          <w:i/>
          <w:iCs/>
          <w:color w:val="222222"/>
          <w:shd w:val="clear" w:color="auto" w:fill="FFFFFF"/>
        </w:rPr>
        <w:t>S</w:t>
      </w:r>
      <w:r w:rsidRPr="00F0551B">
        <w:rPr>
          <w:i/>
          <w:iCs/>
          <w:color w:val="222222"/>
          <w:shd w:val="clear" w:color="auto" w:fill="FFFFFF"/>
        </w:rPr>
        <w:t xml:space="preserve">haped </w:t>
      </w:r>
      <w:r>
        <w:rPr>
          <w:i/>
          <w:iCs/>
          <w:color w:val="222222"/>
          <w:shd w:val="clear" w:color="auto" w:fill="FFFFFF"/>
        </w:rPr>
        <w:t>G</w:t>
      </w:r>
      <w:r w:rsidRPr="00F0551B">
        <w:rPr>
          <w:i/>
          <w:iCs/>
          <w:color w:val="222222"/>
          <w:shd w:val="clear" w:color="auto" w:fill="FFFFFF"/>
        </w:rPr>
        <w:t>overnment</w:t>
      </w:r>
      <w:r>
        <w:rPr>
          <w:i/>
          <w:iCs/>
          <w:color w:val="222222"/>
          <w:shd w:val="clear" w:color="auto" w:fill="FFFFFF"/>
        </w:rPr>
        <w:t xml:space="preserve"> Re</w:t>
      </w:r>
      <w:r w:rsidRPr="00F0551B">
        <w:rPr>
          <w:i/>
          <w:iCs/>
          <w:color w:val="222222"/>
          <w:shd w:val="clear" w:color="auto" w:fill="FFFFFF"/>
        </w:rPr>
        <w:t>sponses to AIDS</w:t>
      </w:r>
      <w:r w:rsidRPr="00F0551B">
        <w:rPr>
          <w:color w:val="222222"/>
          <w:shd w:val="clear" w:color="auto" w:fill="FFFFFF"/>
        </w:rPr>
        <w:t>. Princeton: Princeton University Press.</w:t>
      </w:r>
    </w:p>
    <w:p w14:paraId="3E34A977" w14:textId="77777777" w:rsidR="00D402B9" w:rsidRDefault="00D402B9" w:rsidP="00211AE4"/>
    <w:p w14:paraId="39C74BDF" w14:textId="71F45C9A" w:rsidR="003E718A" w:rsidRDefault="003E718A" w:rsidP="00211AE4">
      <w:proofErr w:type="spellStart"/>
      <w:r>
        <w:t>Lipset</w:t>
      </w:r>
      <w:proofErr w:type="spellEnd"/>
      <w:r>
        <w:t xml:space="preserve">, Seymour M. and Stein </w:t>
      </w:r>
      <w:proofErr w:type="spellStart"/>
      <w:r>
        <w:t>Rokkan</w:t>
      </w:r>
      <w:proofErr w:type="spellEnd"/>
      <w:r>
        <w:t>. 1967</w:t>
      </w:r>
      <w:r w:rsidR="004A6C1D">
        <w:t xml:space="preserve">. “Cleavage Structures, Party Systems and Voter Alignments: An Introduction.” In </w:t>
      </w:r>
      <w:r w:rsidR="004A6C1D" w:rsidRPr="00F0551B">
        <w:rPr>
          <w:i/>
          <w:iCs/>
        </w:rPr>
        <w:t xml:space="preserve">Seymour M. </w:t>
      </w:r>
      <w:proofErr w:type="spellStart"/>
      <w:r w:rsidR="004A6C1D" w:rsidRPr="00F0551B">
        <w:rPr>
          <w:i/>
          <w:iCs/>
        </w:rPr>
        <w:t>Lipset</w:t>
      </w:r>
      <w:proofErr w:type="spellEnd"/>
      <w:r w:rsidR="004A6C1D" w:rsidRPr="00F0551B">
        <w:rPr>
          <w:i/>
          <w:iCs/>
        </w:rPr>
        <w:t xml:space="preserve"> and Stein </w:t>
      </w:r>
      <w:proofErr w:type="spellStart"/>
      <w:r w:rsidR="004A6C1D" w:rsidRPr="00F0551B">
        <w:rPr>
          <w:i/>
          <w:iCs/>
        </w:rPr>
        <w:t>Rokkan</w:t>
      </w:r>
      <w:proofErr w:type="spellEnd"/>
      <w:r w:rsidR="004A6C1D" w:rsidRPr="00F0551B">
        <w:rPr>
          <w:i/>
          <w:iCs/>
        </w:rPr>
        <w:t>, Party Systems and Voter Alignments: Cross National Perspectives</w:t>
      </w:r>
      <w:r w:rsidR="004A6C1D">
        <w:t xml:space="preserve">. New York Free Press. </w:t>
      </w:r>
    </w:p>
    <w:p w14:paraId="46917DD3" w14:textId="5694E77C" w:rsidR="00013E20" w:rsidRDefault="00013E20" w:rsidP="00211AE4"/>
    <w:p w14:paraId="541F55E4" w14:textId="21756F28" w:rsidR="00013E20" w:rsidRPr="00013E20" w:rsidRDefault="00013E20" w:rsidP="00013E20">
      <w:r w:rsidRPr="00F0551B">
        <w:rPr>
          <w:color w:val="222222"/>
          <w:shd w:val="clear" w:color="auto" w:fill="FFFFFF"/>
        </w:rPr>
        <w:t>Mann, Michael. 2005. </w:t>
      </w:r>
      <w:r w:rsidRPr="00F0551B">
        <w:rPr>
          <w:i/>
          <w:iCs/>
          <w:color w:val="222222"/>
          <w:shd w:val="clear" w:color="auto" w:fill="FFFFFF"/>
        </w:rPr>
        <w:t>The Dark Side of Democracy: Explaining Ethnic Cleansing</w:t>
      </w:r>
      <w:r w:rsidRPr="00F0551B">
        <w:rPr>
          <w:color w:val="222222"/>
          <w:shd w:val="clear" w:color="auto" w:fill="FFFFFF"/>
        </w:rPr>
        <w:t>. Cambridge: Cambridge University Press.</w:t>
      </w:r>
    </w:p>
    <w:p w14:paraId="43CF1616" w14:textId="7A8F21F4" w:rsidR="00D402B9" w:rsidRDefault="00D402B9" w:rsidP="00211AE4"/>
    <w:p w14:paraId="6843F40C" w14:textId="188F5A3E" w:rsidR="00635270" w:rsidRPr="00635270" w:rsidRDefault="00635270" w:rsidP="00635270">
      <w:r w:rsidRPr="00F0551B">
        <w:rPr>
          <w:color w:val="222222"/>
          <w:shd w:val="clear" w:color="auto" w:fill="FFFFFF"/>
        </w:rPr>
        <w:t xml:space="preserve">Mickey, Robert. 2015. </w:t>
      </w:r>
      <w:r w:rsidRPr="00F0551B">
        <w:rPr>
          <w:i/>
          <w:iCs/>
          <w:color w:val="222222"/>
          <w:shd w:val="clear" w:color="auto" w:fill="FFFFFF"/>
        </w:rPr>
        <w:t>Paths Out of Dixie: The Democratization of Authoritarian Enclaves in America's Deep South, 1944-1972</w:t>
      </w:r>
      <w:r w:rsidRPr="00F0551B">
        <w:rPr>
          <w:color w:val="222222"/>
          <w:shd w:val="clear" w:color="auto" w:fill="FFFFFF"/>
        </w:rPr>
        <w:t>. Princeton: Princeton University Press.</w:t>
      </w:r>
    </w:p>
    <w:p w14:paraId="2B61A120" w14:textId="5B6F0F95" w:rsidR="00D402B9" w:rsidRDefault="00D402B9" w:rsidP="00211AE4"/>
    <w:p w14:paraId="0FF03CD2" w14:textId="4E85B47F" w:rsidR="00635270" w:rsidRPr="00635270" w:rsidRDefault="00635270" w:rsidP="00635270">
      <w:r w:rsidRPr="00F0551B">
        <w:rPr>
          <w:color w:val="222222"/>
          <w:shd w:val="clear" w:color="auto" w:fill="FFFFFF"/>
        </w:rPr>
        <w:t>Rodden, Jonathan. 2019. </w:t>
      </w:r>
      <w:r w:rsidRPr="00F0551B">
        <w:rPr>
          <w:i/>
          <w:iCs/>
          <w:color w:val="222222"/>
          <w:shd w:val="clear" w:color="auto" w:fill="FFFFFF"/>
        </w:rPr>
        <w:t>Why Cities Lose: The Deep Roots of the Urban-Rural Political Divide</w:t>
      </w:r>
      <w:r w:rsidRPr="00F0551B">
        <w:rPr>
          <w:color w:val="222222"/>
          <w:shd w:val="clear" w:color="auto" w:fill="FFFFFF"/>
        </w:rPr>
        <w:t>. New York: Basic Books</w:t>
      </w:r>
      <w:r>
        <w:rPr>
          <w:color w:val="222222"/>
          <w:shd w:val="clear" w:color="auto" w:fill="FFFFFF"/>
        </w:rPr>
        <w:t>.</w:t>
      </w:r>
    </w:p>
    <w:p w14:paraId="4DDB1E47" w14:textId="6A255D30" w:rsidR="00D402B9" w:rsidRPr="00635270" w:rsidRDefault="00D402B9" w:rsidP="00211AE4"/>
    <w:p w14:paraId="43E70411" w14:textId="19B6321E" w:rsidR="00635270" w:rsidRPr="00635270" w:rsidRDefault="00635270" w:rsidP="00635270">
      <w:r w:rsidRPr="00F0551B">
        <w:rPr>
          <w:color w:val="222222"/>
          <w:shd w:val="clear" w:color="auto" w:fill="FFFFFF"/>
        </w:rPr>
        <w:t>Sen, Amartya. 2001. </w:t>
      </w:r>
      <w:r w:rsidRPr="00F0551B">
        <w:rPr>
          <w:i/>
          <w:iCs/>
          <w:color w:val="222222"/>
          <w:shd w:val="clear" w:color="auto" w:fill="FFFFFF"/>
        </w:rPr>
        <w:t>Development as Freedom</w:t>
      </w:r>
      <w:r w:rsidRPr="00F0551B">
        <w:rPr>
          <w:color w:val="222222"/>
          <w:shd w:val="clear" w:color="auto" w:fill="FFFFFF"/>
        </w:rPr>
        <w:t>. New York: Anchor Books.</w:t>
      </w:r>
    </w:p>
    <w:p w14:paraId="4DDF5786" w14:textId="77777777" w:rsidR="00D402B9" w:rsidRPr="00635270" w:rsidRDefault="00D402B9" w:rsidP="00211AE4"/>
    <w:p w14:paraId="2B9B0DC0" w14:textId="0B1A342B" w:rsidR="00635270" w:rsidRDefault="00635270" w:rsidP="00635270">
      <w:pPr>
        <w:rPr>
          <w:color w:val="222222"/>
          <w:shd w:val="clear" w:color="auto" w:fill="FFFFFF"/>
        </w:rPr>
      </w:pPr>
      <w:r w:rsidRPr="00F0551B">
        <w:rPr>
          <w:color w:val="222222"/>
          <w:shd w:val="clear" w:color="auto" w:fill="FFFFFF"/>
        </w:rPr>
        <w:t>Slater, Dan. 2010. </w:t>
      </w:r>
      <w:r w:rsidRPr="00F0551B">
        <w:rPr>
          <w:i/>
          <w:iCs/>
          <w:color w:val="222222"/>
          <w:shd w:val="clear" w:color="auto" w:fill="FFFFFF"/>
        </w:rPr>
        <w:t xml:space="preserve">Ordering </w:t>
      </w:r>
      <w:r>
        <w:rPr>
          <w:i/>
          <w:iCs/>
          <w:color w:val="222222"/>
          <w:shd w:val="clear" w:color="auto" w:fill="FFFFFF"/>
        </w:rPr>
        <w:t>P</w:t>
      </w:r>
      <w:r w:rsidRPr="00F0551B">
        <w:rPr>
          <w:i/>
          <w:iCs/>
          <w:color w:val="222222"/>
          <w:shd w:val="clear" w:color="auto" w:fill="FFFFFF"/>
        </w:rPr>
        <w:t xml:space="preserve">ower: Contentious </w:t>
      </w:r>
      <w:r w:rsidR="003F4A35">
        <w:rPr>
          <w:i/>
          <w:iCs/>
          <w:color w:val="222222"/>
          <w:shd w:val="clear" w:color="auto" w:fill="FFFFFF"/>
        </w:rPr>
        <w:t>P</w:t>
      </w:r>
      <w:r w:rsidRPr="00F0551B">
        <w:rPr>
          <w:i/>
          <w:iCs/>
          <w:color w:val="222222"/>
          <w:shd w:val="clear" w:color="auto" w:fill="FFFFFF"/>
        </w:rPr>
        <w:t xml:space="preserve">olitics and </w:t>
      </w:r>
      <w:r w:rsidRPr="00635270">
        <w:rPr>
          <w:i/>
          <w:iCs/>
          <w:color w:val="222222"/>
          <w:shd w:val="clear" w:color="auto" w:fill="FFFFFF"/>
        </w:rPr>
        <w:t>A</w:t>
      </w:r>
      <w:r w:rsidRPr="00F0551B">
        <w:rPr>
          <w:i/>
          <w:iCs/>
          <w:color w:val="222222"/>
          <w:shd w:val="clear" w:color="auto" w:fill="FFFFFF"/>
        </w:rPr>
        <w:t>uthoritarian</w:t>
      </w:r>
      <w:r w:rsidRPr="00635270">
        <w:rPr>
          <w:i/>
          <w:iCs/>
          <w:color w:val="222222"/>
          <w:shd w:val="clear" w:color="auto" w:fill="FFFFFF"/>
        </w:rPr>
        <w:t xml:space="preserve"> L</w:t>
      </w:r>
      <w:r w:rsidRPr="00F0551B">
        <w:rPr>
          <w:i/>
          <w:iCs/>
          <w:color w:val="222222"/>
          <w:shd w:val="clear" w:color="auto" w:fill="FFFFFF"/>
        </w:rPr>
        <w:t>eviathans in Southeast Asia</w:t>
      </w:r>
      <w:r w:rsidRPr="00F0551B">
        <w:rPr>
          <w:color w:val="222222"/>
          <w:shd w:val="clear" w:color="auto" w:fill="FFFFFF"/>
        </w:rPr>
        <w:t xml:space="preserve">. </w:t>
      </w:r>
      <w:r w:rsidRPr="00635270">
        <w:rPr>
          <w:color w:val="222222"/>
          <w:shd w:val="clear" w:color="auto" w:fill="FFFFFF"/>
        </w:rPr>
        <w:t xml:space="preserve">Cambridge: </w:t>
      </w:r>
      <w:r w:rsidRPr="00F0551B">
        <w:rPr>
          <w:color w:val="222222"/>
          <w:shd w:val="clear" w:color="auto" w:fill="FFFFFF"/>
        </w:rPr>
        <w:t>Cambridge University Press.</w:t>
      </w:r>
    </w:p>
    <w:p w14:paraId="4288E42A" w14:textId="18A604F0" w:rsidR="00013E20" w:rsidRDefault="00013E20" w:rsidP="00635270">
      <w:pPr>
        <w:rPr>
          <w:color w:val="222222"/>
          <w:shd w:val="clear" w:color="auto" w:fill="FFFFFF"/>
        </w:rPr>
      </w:pPr>
    </w:p>
    <w:p w14:paraId="50ADF451" w14:textId="4B976B64" w:rsidR="004D17D0" w:rsidRPr="004D17D0" w:rsidRDefault="00013E20" w:rsidP="004D17D0">
      <w:r w:rsidRPr="004D17D0">
        <w:rPr>
          <w:color w:val="222222"/>
          <w:shd w:val="clear" w:color="auto" w:fill="FFFFFF"/>
        </w:rPr>
        <w:t xml:space="preserve">Snyder, </w:t>
      </w:r>
      <w:r w:rsidR="004D17D0" w:rsidRPr="004D17D0">
        <w:rPr>
          <w:color w:val="222222"/>
          <w:shd w:val="clear" w:color="auto" w:fill="FFFFFF"/>
        </w:rPr>
        <w:t xml:space="preserve">Jack. </w:t>
      </w:r>
      <w:r w:rsidR="004D17D0" w:rsidRPr="00F0551B">
        <w:rPr>
          <w:color w:val="222222"/>
          <w:shd w:val="clear" w:color="auto" w:fill="FFFFFF"/>
        </w:rPr>
        <w:t>2000. </w:t>
      </w:r>
      <w:r w:rsidR="004D17D0" w:rsidRPr="00F0551B">
        <w:rPr>
          <w:i/>
          <w:iCs/>
          <w:color w:val="222222"/>
          <w:shd w:val="clear" w:color="auto" w:fill="FFFFFF"/>
        </w:rPr>
        <w:t xml:space="preserve">From Voting to Violence: Democratization and Nationalist Conflict: </w:t>
      </w:r>
      <w:r w:rsidR="004D17D0" w:rsidRPr="00F0551B">
        <w:rPr>
          <w:color w:val="222222"/>
          <w:shd w:val="clear" w:color="auto" w:fill="FFFFFF"/>
        </w:rPr>
        <w:t>New York: Norton.</w:t>
      </w:r>
    </w:p>
    <w:p w14:paraId="064C2ADA" w14:textId="3314949C" w:rsidR="0083286A" w:rsidRPr="00635270" w:rsidRDefault="0083286A" w:rsidP="00211AE4"/>
    <w:p w14:paraId="3795F87A" w14:textId="1CE5F560" w:rsidR="0083286A" w:rsidRPr="00635270" w:rsidRDefault="0083286A">
      <w:r w:rsidRPr="004D17D0">
        <w:t xml:space="preserve">Tilly Charles. 1984. </w:t>
      </w:r>
      <w:r w:rsidRPr="00F0551B">
        <w:rPr>
          <w:i/>
          <w:iCs/>
        </w:rPr>
        <w:t>Big Structures, Large Processes, Huge Comparisons</w:t>
      </w:r>
      <w:r w:rsidRPr="00635270">
        <w:t>. New York: Russel Sage Foundation.</w:t>
      </w:r>
    </w:p>
    <w:p w14:paraId="3D031255" w14:textId="0BB002C7" w:rsidR="00D402B9" w:rsidRPr="00635270" w:rsidRDefault="00D402B9"/>
    <w:p w14:paraId="211FBB3F" w14:textId="773283E3" w:rsidR="00635270" w:rsidRPr="00635270" w:rsidRDefault="00635270" w:rsidP="00635270">
      <w:r w:rsidRPr="00F0551B">
        <w:rPr>
          <w:color w:val="222222"/>
          <w:shd w:val="clear" w:color="auto" w:fill="FFFFFF"/>
        </w:rPr>
        <w:t>Tsai, Lily. 2007. </w:t>
      </w:r>
      <w:r w:rsidRPr="00F0551B">
        <w:rPr>
          <w:i/>
          <w:iCs/>
          <w:color w:val="222222"/>
          <w:shd w:val="clear" w:color="auto" w:fill="FFFFFF"/>
        </w:rPr>
        <w:t xml:space="preserve">Accountability without </w:t>
      </w:r>
      <w:r w:rsidR="004D17D0">
        <w:rPr>
          <w:i/>
          <w:iCs/>
          <w:color w:val="222222"/>
          <w:shd w:val="clear" w:color="auto" w:fill="FFFFFF"/>
        </w:rPr>
        <w:t>D</w:t>
      </w:r>
      <w:r w:rsidRPr="00F0551B">
        <w:rPr>
          <w:i/>
          <w:iCs/>
          <w:color w:val="222222"/>
          <w:shd w:val="clear" w:color="auto" w:fill="FFFFFF"/>
        </w:rPr>
        <w:t xml:space="preserve">emocracy: Solidary </w:t>
      </w:r>
      <w:r w:rsidRPr="00635270">
        <w:rPr>
          <w:i/>
          <w:iCs/>
          <w:color w:val="222222"/>
          <w:shd w:val="clear" w:color="auto" w:fill="FFFFFF"/>
        </w:rPr>
        <w:t>G</w:t>
      </w:r>
      <w:r w:rsidRPr="00F0551B">
        <w:rPr>
          <w:i/>
          <w:iCs/>
          <w:color w:val="222222"/>
          <w:shd w:val="clear" w:color="auto" w:fill="FFFFFF"/>
        </w:rPr>
        <w:t xml:space="preserve">roups and </w:t>
      </w:r>
      <w:r w:rsidRPr="00635270">
        <w:rPr>
          <w:i/>
          <w:iCs/>
          <w:color w:val="222222"/>
          <w:shd w:val="clear" w:color="auto" w:fill="FFFFFF"/>
        </w:rPr>
        <w:t>P</w:t>
      </w:r>
      <w:r w:rsidRPr="00F0551B">
        <w:rPr>
          <w:i/>
          <w:iCs/>
          <w:color w:val="222222"/>
          <w:shd w:val="clear" w:color="auto" w:fill="FFFFFF"/>
        </w:rPr>
        <w:t xml:space="preserve">ublic </w:t>
      </w:r>
      <w:r w:rsidRPr="00635270">
        <w:rPr>
          <w:i/>
          <w:iCs/>
          <w:color w:val="222222"/>
          <w:shd w:val="clear" w:color="auto" w:fill="FFFFFF"/>
        </w:rPr>
        <w:t>G</w:t>
      </w:r>
      <w:r w:rsidRPr="00F0551B">
        <w:rPr>
          <w:i/>
          <w:iCs/>
          <w:color w:val="222222"/>
          <w:shd w:val="clear" w:color="auto" w:fill="FFFFFF"/>
        </w:rPr>
        <w:t xml:space="preserve">oods </w:t>
      </w:r>
      <w:r w:rsidRPr="00635270">
        <w:rPr>
          <w:i/>
          <w:iCs/>
          <w:color w:val="222222"/>
          <w:shd w:val="clear" w:color="auto" w:fill="FFFFFF"/>
        </w:rPr>
        <w:t>P</w:t>
      </w:r>
      <w:r w:rsidRPr="00F0551B">
        <w:rPr>
          <w:i/>
          <w:iCs/>
          <w:color w:val="222222"/>
          <w:shd w:val="clear" w:color="auto" w:fill="FFFFFF"/>
        </w:rPr>
        <w:t xml:space="preserve">rovision in </w:t>
      </w:r>
      <w:r w:rsidRPr="00635270">
        <w:rPr>
          <w:i/>
          <w:iCs/>
          <w:color w:val="222222"/>
          <w:shd w:val="clear" w:color="auto" w:fill="FFFFFF"/>
        </w:rPr>
        <w:t>R</w:t>
      </w:r>
      <w:r w:rsidRPr="00F0551B">
        <w:rPr>
          <w:i/>
          <w:iCs/>
          <w:color w:val="222222"/>
          <w:shd w:val="clear" w:color="auto" w:fill="FFFFFF"/>
        </w:rPr>
        <w:t>ural China</w:t>
      </w:r>
      <w:r w:rsidRPr="00F0551B">
        <w:rPr>
          <w:color w:val="222222"/>
          <w:shd w:val="clear" w:color="auto" w:fill="FFFFFF"/>
        </w:rPr>
        <w:t xml:space="preserve">. </w:t>
      </w:r>
      <w:r w:rsidRPr="00635270">
        <w:rPr>
          <w:color w:val="222222"/>
          <w:shd w:val="clear" w:color="auto" w:fill="FFFFFF"/>
        </w:rPr>
        <w:t xml:space="preserve">Cambridge: </w:t>
      </w:r>
      <w:r w:rsidRPr="00F0551B">
        <w:rPr>
          <w:color w:val="222222"/>
          <w:shd w:val="clear" w:color="auto" w:fill="FFFFFF"/>
        </w:rPr>
        <w:t>Cambridge University Press.</w:t>
      </w:r>
    </w:p>
    <w:p w14:paraId="7A673773" w14:textId="781D8FBA" w:rsidR="00D402B9" w:rsidRPr="00E64E61" w:rsidRDefault="00D402B9" w:rsidP="00F0551B"/>
    <w:sectPr w:rsidR="00D402B9" w:rsidRPr="00E64E6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CBC1" w14:textId="77777777" w:rsidR="00605F5F" w:rsidRDefault="00605F5F" w:rsidP="000B2AE8">
      <w:r>
        <w:separator/>
      </w:r>
    </w:p>
  </w:endnote>
  <w:endnote w:type="continuationSeparator" w:id="0">
    <w:p w14:paraId="0661A81C" w14:textId="77777777" w:rsidR="00605F5F" w:rsidRDefault="00605F5F" w:rsidP="000B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1974801"/>
      <w:docPartObj>
        <w:docPartGallery w:val="Page Numbers (Bottom of Page)"/>
        <w:docPartUnique/>
      </w:docPartObj>
    </w:sdtPr>
    <w:sdtContent>
      <w:p w14:paraId="6FC23BDB" w14:textId="703ADDB9" w:rsidR="0089210D" w:rsidRDefault="0089210D" w:rsidP="008921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366B62" w14:textId="77777777" w:rsidR="0089210D" w:rsidRDefault="0089210D" w:rsidP="000B2A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5130105"/>
      <w:docPartObj>
        <w:docPartGallery w:val="Page Numbers (Bottom of Page)"/>
        <w:docPartUnique/>
      </w:docPartObj>
    </w:sdtPr>
    <w:sdtContent>
      <w:p w14:paraId="648D7B57" w14:textId="7D1E9489" w:rsidR="0089210D" w:rsidRDefault="0089210D" w:rsidP="008921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A77702" w14:textId="77777777" w:rsidR="0089210D" w:rsidRDefault="0089210D" w:rsidP="000B2A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11F7" w14:textId="77777777" w:rsidR="00605F5F" w:rsidRDefault="00605F5F" w:rsidP="000B2AE8">
      <w:r>
        <w:separator/>
      </w:r>
    </w:p>
  </w:footnote>
  <w:footnote w:type="continuationSeparator" w:id="0">
    <w:p w14:paraId="22C40C1F" w14:textId="77777777" w:rsidR="00605F5F" w:rsidRDefault="00605F5F" w:rsidP="000B2AE8">
      <w:r>
        <w:continuationSeparator/>
      </w:r>
    </w:p>
  </w:footnote>
  <w:footnote w:id="1">
    <w:p w14:paraId="4F8D7355" w14:textId="5A2BDE3B" w:rsidR="0089210D" w:rsidRPr="00F0551B" w:rsidRDefault="0089210D">
      <w:pPr>
        <w:pStyle w:val="FootnoteText"/>
        <w:rPr>
          <w:rFonts w:ascii="Times New Roman" w:hAnsi="Times New Roman" w:cs="Times New Roman"/>
          <w:sz w:val="24"/>
          <w:szCs w:val="24"/>
        </w:rPr>
      </w:pPr>
      <w:r w:rsidRPr="00F0551B">
        <w:rPr>
          <w:rStyle w:val="FootnoteReference"/>
          <w:rFonts w:ascii="Times New Roman" w:hAnsi="Times New Roman" w:cs="Times New Roman"/>
          <w:sz w:val="24"/>
          <w:szCs w:val="24"/>
        </w:rPr>
        <w:footnoteRef/>
      </w:r>
      <w:r w:rsidRPr="00F0551B">
        <w:rPr>
          <w:rFonts w:ascii="Times New Roman" w:hAnsi="Times New Roman" w:cs="Times New Roman"/>
          <w:sz w:val="24"/>
          <w:szCs w:val="24"/>
        </w:rPr>
        <w:t xml:space="preserve"> Eaton Professor of Science of Government, Harvard University &amp; WZB Berlin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20"/>
    <w:rsid w:val="00005721"/>
    <w:rsid w:val="00013E20"/>
    <w:rsid w:val="000B2AE8"/>
    <w:rsid w:val="00152520"/>
    <w:rsid w:val="0015675C"/>
    <w:rsid w:val="001758DB"/>
    <w:rsid w:val="001859C8"/>
    <w:rsid w:val="001B2426"/>
    <w:rsid w:val="001C1E32"/>
    <w:rsid w:val="00211AE4"/>
    <w:rsid w:val="0023144E"/>
    <w:rsid w:val="00261CBE"/>
    <w:rsid w:val="00266DF9"/>
    <w:rsid w:val="00273751"/>
    <w:rsid w:val="00281874"/>
    <w:rsid w:val="00283BED"/>
    <w:rsid w:val="002A524D"/>
    <w:rsid w:val="002F119D"/>
    <w:rsid w:val="003270F3"/>
    <w:rsid w:val="00353A34"/>
    <w:rsid w:val="003802C6"/>
    <w:rsid w:val="00391209"/>
    <w:rsid w:val="00395B02"/>
    <w:rsid w:val="00396895"/>
    <w:rsid w:val="003E718A"/>
    <w:rsid w:val="003F2A5E"/>
    <w:rsid w:val="003F4A35"/>
    <w:rsid w:val="00460650"/>
    <w:rsid w:val="00477591"/>
    <w:rsid w:val="004952F4"/>
    <w:rsid w:val="0049679B"/>
    <w:rsid w:val="004A6C1D"/>
    <w:rsid w:val="004D17D0"/>
    <w:rsid w:val="004E7DE9"/>
    <w:rsid w:val="005238C3"/>
    <w:rsid w:val="00545959"/>
    <w:rsid w:val="00563498"/>
    <w:rsid w:val="00567A25"/>
    <w:rsid w:val="005C66BB"/>
    <w:rsid w:val="005D18F1"/>
    <w:rsid w:val="005E7196"/>
    <w:rsid w:val="00605F5F"/>
    <w:rsid w:val="00635270"/>
    <w:rsid w:val="00656967"/>
    <w:rsid w:val="00664CA0"/>
    <w:rsid w:val="0069710C"/>
    <w:rsid w:val="006D0147"/>
    <w:rsid w:val="006F29E6"/>
    <w:rsid w:val="00704A5E"/>
    <w:rsid w:val="00726085"/>
    <w:rsid w:val="00732CAC"/>
    <w:rsid w:val="0075036C"/>
    <w:rsid w:val="007555D9"/>
    <w:rsid w:val="0076682C"/>
    <w:rsid w:val="007B4CA9"/>
    <w:rsid w:val="007C71D3"/>
    <w:rsid w:val="00810722"/>
    <w:rsid w:val="0083286A"/>
    <w:rsid w:val="00864251"/>
    <w:rsid w:val="00874C7D"/>
    <w:rsid w:val="0089210D"/>
    <w:rsid w:val="008A45FE"/>
    <w:rsid w:val="008B32D9"/>
    <w:rsid w:val="009006DF"/>
    <w:rsid w:val="00906C69"/>
    <w:rsid w:val="00911E6C"/>
    <w:rsid w:val="00912097"/>
    <w:rsid w:val="00974326"/>
    <w:rsid w:val="00983AE1"/>
    <w:rsid w:val="009A43AF"/>
    <w:rsid w:val="009C4486"/>
    <w:rsid w:val="00A11E8F"/>
    <w:rsid w:val="00A41AD4"/>
    <w:rsid w:val="00A703CE"/>
    <w:rsid w:val="00AE251F"/>
    <w:rsid w:val="00AE271C"/>
    <w:rsid w:val="00B002C1"/>
    <w:rsid w:val="00B02DDA"/>
    <w:rsid w:val="00B10D5C"/>
    <w:rsid w:val="00B42B00"/>
    <w:rsid w:val="00BA556B"/>
    <w:rsid w:val="00BB026B"/>
    <w:rsid w:val="00BC4B5C"/>
    <w:rsid w:val="00C2292F"/>
    <w:rsid w:val="00C311A4"/>
    <w:rsid w:val="00C42A68"/>
    <w:rsid w:val="00C566C2"/>
    <w:rsid w:val="00C60500"/>
    <w:rsid w:val="00C64111"/>
    <w:rsid w:val="00C8089A"/>
    <w:rsid w:val="00CA3259"/>
    <w:rsid w:val="00CB6BE3"/>
    <w:rsid w:val="00CC414A"/>
    <w:rsid w:val="00CC5751"/>
    <w:rsid w:val="00CE7598"/>
    <w:rsid w:val="00CF5706"/>
    <w:rsid w:val="00D402B9"/>
    <w:rsid w:val="00D5317B"/>
    <w:rsid w:val="00D71F83"/>
    <w:rsid w:val="00D7403A"/>
    <w:rsid w:val="00DC6F99"/>
    <w:rsid w:val="00DF20D7"/>
    <w:rsid w:val="00E000EA"/>
    <w:rsid w:val="00E167BE"/>
    <w:rsid w:val="00E20FEF"/>
    <w:rsid w:val="00E64E61"/>
    <w:rsid w:val="00E7376E"/>
    <w:rsid w:val="00E901AE"/>
    <w:rsid w:val="00ED412C"/>
    <w:rsid w:val="00EF2B5C"/>
    <w:rsid w:val="00F0551B"/>
    <w:rsid w:val="00F1427D"/>
    <w:rsid w:val="00FC134E"/>
    <w:rsid w:val="00FE10BF"/>
    <w:rsid w:val="00FF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7587"/>
  <w15:chartTrackingRefBased/>
  <w15:docId w15:val="{3C7BC4D4-3DFF-9440-9BA6-21CEDBE2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270"/>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4E7D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598"/>
    <w:rPr>
      <w:rFonts w:eastAsiaTheme="minorHAnsi"/>
      <w:sz w:val="18"/>
      <w:szCs w:val="18"/>
    </w:rPr>
  </w:style>
  <w:style w:type="character" w:customStyle="1" w:styleId="BalloonTextChar">
    <w:name w:val="Balloon Text Char"/>
    <w:basedOn w:val="DefaultParagraphFont"/>
    <w:link w:val="BalloonText"/>
    <w:uiPriority w:val="99"/>
    <w:semiHidden/>
    <w:rsid w:val="00CE7598"/>
    <w:rPr>
      <w:rFonts w:ascii="Times New Roman" w:hAnsi="Times New Roman" w:cs="Times New Roman"/>
      <w:sz w:val="18"/>
      <w:szCs w:val="18"/>
    </w:rPr>
  </w:style>
  <w:style w:type="paragraph" w:styleId="Footer">
    <w:name w:val="footer"/>
    <w:basedOn w:val="Normal"/>
    <w:link w:val="FooterChar"/>
    <w:uiPriority w:val="99"/>
    <w:unhideWhenUsed/>
    <w:rsid w:val="000B2AE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B2AE8"/>
  </w:style>
  <w:style w:type="character" w:styleId="PageNumber">
    <w:name w:val="page number"/>
    <w:basedOn w:val="DefaultParagraphFont"/>
    <w:uiPriority w:val="99"/>
    <w:semiHidden/>
    <w:unhideWhenUsed/>
    <w:rsid w:val="000B2AE8"/>
  </w:style>
  <w:style w:type="paragraph" w:styleId="FootnoteText">
    <w:name w:val="footnote text"/>
    <w:basedOn w:val="Normal"/>
    <w:link w:val="FootnoteTextChar"/>
    <w:uiPriority w:val="99"/>
    <w:semiHidden/>
    <w:unhideWhenUsed/>
    <w:rsid w:val="000B2AE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B2AE8"/>
    <w:rPr>
      <w:sz w:val="20"/>
      <w:szCs w:val="20"/>
    </w:rPr>
  </w:style>
  <w:style w:type="character" w:styleId="FootnoteReference">
    <w:name w:val="footnote reference"/>
    <w:basedOn w:val="DefaultParagraphFont"/>
    <w:uiPriority w:val="99"/>
    <w:semiHidden/>
    <w:unhideWhenUsed/>
    <w:rsid w:val="000B2AE8"/>
    <w:rPr>
      <w:vertAlign w:val="superscript"/>
    </w:rPr>
  </w:style>
  <w:style w:type="character" w:customStyle="1" w:styleId="Heading2Char">
    <w:name w:val="Heading 2 Char"/>
    <w:basedOn w:val="DefaultParagraphFont"/>
    <w:link w:val="Heading2"/>
    <w:uiPriority w:val="9"/>
    <w:rsid w:val="004E7DE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3286A"/>
    <w:rPr>
      <w:sz w:val="16"/>
      <w:szCs w:val="16"/>
    </w:rPr>
  </w:style>
  <w:style w:type="paragraph" w:styleId="CommentText">
    <w:name w:val="annotation text"/>
    <w:basedOn w:val="Normal"/>
    <w:link w:val="CommentTextChar"/>
    <w:uiPriority w:val="99"/>
    <w:semiHidden/>
    <w:unhideWhenUsed/>
    <w:rsid w:val="0083286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286A"/>
    <w:rPr>
      <w:sz w:val="20"/>
      <w:szCs w:val="20"/>
    </w:rPr>
  </w:style>
  <w:style w:type="paragraph" w:styleId="CommentSubject">
    <w:name w:val="annotation subject"/>
    <w:basedOn w:val="CommentText"/>
    <w:next w:val="CommentText"/>
    <w:link w:val="CommentSubjectChar"/>
    <w:uiPriority w:val="99"/>
    <w:semiHidden/>
    <w:unhideWhenUsed/>
    <w:rsid w:val="0083286A"/>
    <w:rPr>
      <w:b/>
      <w:bCs/>
    </w:rPr>
  </w:style>
  <w:style w:type="character" w:customStyle="1" w:styleId="CommentSubjectChar">
    <w:name w:val="Comment Subject Char"/>
    <w:basedOn w:val="CommentTextChar"/>
    <w:link w:val="CommentSubject"/>
    <w:uiPriority w:val="99"/>
    <w:semiHidden/>
    <w:rsid w:val="0083286A"/>
    <w:rPr>
      <w:b/>
      <w:bCs/>
      <w:sz w:val="20"/>
      <w:szCs w:val="20"/>
    </w:rPr>
  </w:style>
  <w:style w:type="paragraph" w:styleId="Revision">
    <w:name w:val="Revision"/>
    <w:hidden/>
    <w:uiPriority w:val="99"/>
    <w:semiHidden/>
    <w:rsid w:val="0065696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9932">
      <w:bodyDiv w:val="1"/>
      <w:marLeft w:val="0"/>
      <w:marRight w:val="0"/>
      <w:marTop w:val="0"/>
      <w:marBottom w:val="0"/>
      <w:divBdr>
        <w:top w:val="none" w:sz="0" w:space="0" w:color="auto"/>
        <w:left w:val="none" w:sz="0" w:space="0" w:color="auto"/>
        <w:bottom w:val="none" w:sz="0" w:space="0" w:color="auto"/>
        <w:right w:val="none" w:sz="0" w:space="0" w:color="auto"/>
      </w:divBdr>
    </w:div>
    <w:div w:id="478302511">
      <w:bodyDiv w:val="1"/>
      <w:marLeft w:val="0"/>
      <w:marRight w:val="0"/>
      <w:marTop w:val="0"/>
      <w:marBottom w:val="0"/>
      <w:divBdr>
        <w:top w:val="none" w:sz="0" w:space="0" w:color="auto"/>
        <w:left w:val="none" w:sz="0" w:space="0" w:color="auto"/>
        <w:bottom w:val="none" w:sz="0" w:space="0" w:color="auto"/>
        <w:right w:val="none" w:sz="0" w:space="0" w:color="auto"/>
      </w:divBdr>
    </w:div>
    <w:div w:id="628710951">
      <w:bodyDiv w:val="1"/>
      <w:marLeft w:val="0"/>
      <w:marRight w:val="0"/>
      <w:marTop w:val="0"/>
      <w:marBottom w:val="0"/>
      <w:divBdr>
        <w:top w:val="none" w:sz="0" w:space="0" w:color="auto"/>
        <w:left w:val="none" w:sz="0" w:space="0" w:color="auto"/>
        <w:bottom w:val="none" w:sz="0" w:space="0" w:color="auto"/>
        <w:right w:val="none" w:sz="0" w:space="0" w:color="auto"/>
      </w:divBdr>
    </w:div>
    <w:div w:id="640422655">
      <w:bodyDiv w:val="1"/>
      <w:marLeft w:val="0"/>
      <w:marRight w:val="0"/>
      <w:marTop w:val="0"/>
      <w:marBottom w:val="0"/>
      <w:divBdr>
        <w:top w:val="none" w:sz="0" w:space="0" w:color="auto"/>
        <w:left w:val="none" w:sz="0" w:space="0" w:color="auto"/>
        <w:bottom w:val="none" w:sz="0" w:space="0" w:color="auto"/>
        <w:right w:val="none" w:sz="0" w:space="0" w:color="auto"/>
      </w:divBdr>
    </w:div>
    <w:div w:id="653683253">
      <w:bodyDiv w:val="1"/>
      <w:marLeft w:val="0"/>
      <w:marRight w:val="0"/>
      <w:marTop w:val="0"/>
      <w:marBottom w:val="0"/>
      <w:divBdr>
        <w:top w:val="none" w:sz="0" w:space="0" w:color="auto"/>
        <w:left w:val="none" w:sz="0" w:space="0" w:color="auto"/>
        <w:bottom w:val="none" w:sz="0" w:space="0" w:color="auto"/>
        <w:right w:val="none" w:sz="0" w:space="0" w:color="auto"/>
      </w:divBdr>
    </w:div>
    <w:div w:id="824468741">
      <w:bodyDiv w:val="1"/>
      <w:marLeft w:val="0"/>
      <w:marRight w:val="0"/>
      <w:marTop w:val="0"/>
      <w:marBottom w:val="0"/>
      <w:divBdr>
        <w:top w:val="none" w:sz="0" w:space="0" w:color="auto"/>
        <w:left w:val="none" w:sz="0" w:space="0" w:color="auto"/>
        <w:bottom w:val="none" w:sz="0" w:space="0" w:color="auto"/>
        <w:right w:val="none" w:sz="0" w:space="0" w:color="auto"/>
      </w:divBdr>
    </w:div>
    <w:div w:id="857936407">
      <w:bodyDiv w:val="1"/>
      <w:marLeft w:val="0"/>
      <w:marRight w:val="0"/>
      <w:marTop w:val="0"/>
      <w:marBottom w:val="0"/>
      <w:divBdr>
        <w:top w:val="none" w:sz="0" w:space="0" w:color="auto"/>
        <w:left w:val="none" w:sz="0" w:space="0" w:color="auto"/>
        <w:bottom w:val="none" w:sz="0" w:space="0" w:color="auto"/>
        <w:right w:val="none" w:sz="0" w:space="0" w:color="auto"/>
      </w:divBdr>
    </w:div>
    <w:div w:id="920916647">
      <w:bodyDiv w:val="1"/>
      <w:marLeft w:val="0"/>
      <w:marRight w:val="0"/>
      <w:marTop w:val="0"/>
      <w:marBottom w:val="0"/>
      <w:divBdr>
        <w:top w:val="none" w:sz="0" w:space="0" w:color="auto"/>
        <w:left w:val="none" w:sz="0" w:space="0" w:color="auto"/>
        <w:bottom w:val="none" w:sz="0" w:space="0" w:color="auto"/>
        <w:right w:val="none" w:sz="0" w:space="0" w:color="auto"/>
      </w:divBdr>
    </w:div>
    <w:div w:id="975715743">
      <w:bodyDiv w:val="1"/>
      <w:marLeft w:val="0"/>
      <w:marRight w:val="0"/>
      <w:marTop w:val="0"/>
      <w:marBottom w:val="0"/>
      <w:divBdr>
        <w:top w:val="none" w:sz="0" w:space="0" w:color="auto"/>
        <w:left w:val="none" w:sz="0" w:space="0" w:color="auto"/>
        <w:bottom w:val="none" w:sz="0" w:space="0" w:color="auto"/>
        <w:right w:val="none" w:sz="0" w:space="0" w:color="auto"/>
      </w:divBdr>
    </w:div>
    <w:div w:id="1279727043">
      <w:bodyDiv w:val="1"/>
      <w:marLeft w:val="0"/>
      <w:marRight w:val="0"/>
      <w:marTop w:val="0"/>
      <w:marBottom w:val="0"/>
      <w:divBdr>
        <w:top w:val="none" w:sz="0" w:space="0" w:color="auto"/>
        <w:left w:val="none" w:sz="0" w:space="0" w:color="auto"/>
        <w:bottom w:val="none" w:sz="0" w:space="0" w:color="auto"/>
        <w:right w:val="none" w:sz="0" w:space="0" w:color="auto"/>
      </w:divBdr>
    </w:div>
    <w:div w:id="1664967032">
      <w:bodyDiv w:val="1"/>
      <w:marLeft w:val="0"/>
      <w:marRight w:val="0"/>
      <w:marTop w:val="0"/>
      <w:marBottom w:val="0"/>
      <w:divBdr>
        <w:top w:val="none" w:sz="0" w:space="0" w:color="auto"/>
        <w:left w:val="none" w:sz="0" w:space="0" w:color="auto"/>
        <w:bottom w:val="none" w:sz="0" w:space="0" w:color="auto"/>
        <w:right w:val="none" w:sz="0" w:space="0" w:color="auto"/>
      </w:divBdr>
    </w:div>
    <w:div w:id="1676688062">
      <w:bodyDiv w:val="1"/>
      <w:marLeft w:val="0"/>
      <w:marRight w:val="0"/>
      <w:marTop w:val="0"/>
      <w:marBottom w:val="0"/>
      <w:divBdr>
        <w:top w:val="none" w:sz="0" w:space="0" w:color="auto"/>
        <w:left w:val="none" w:sz="0" w:space="0" w:color="auto"/>
        <w:bottom w:val="none" w:sz="0" w:space="0" w:color="auto"/>
        <w:right w:val="none" w:sz="0" w:space="0" w:color="auto"/>
      </w:divBdr>
    </w:div>
    <w:div w:id="19935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AAFC3-ECDD-2247-8DB8-FBDA9EC2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Ziblatt, Daniel</dc:creator>
  <cp:keywords/>
  <dc:description/>
  <cp:lastModifiedBy>Ziblatt, Daniel</cp:lastModifiedBy>
  <cp:revision>2</cp:revision>
  <cp:lastPrinted>2020-12-11T21:14:00Z</cp:lastPrinted>
  <dcterms:created xsi:type="dcterms:W3CDTF">2023-01-01T17:18:00Z</dcterms:created>
  <dcterms:modified xsi:type="dcterms:W3CDTF">2023-01-01T17:18:00Z</dcterms:modified>
</cp:coreProperties>
</file>