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2" w:rsidRPr="007C56A1" w:rsidRDefault="003564A2" w:rsidP="00C2136A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b/>
          <w:sz w:val="34"/>
          <w:szCs w:val="34"/>
        </w:rPr>
      </w:pPr>
      <w:r w:rsidRPr="007C56A1">
        <w:rPr>
          <w:rFonts w:ascii="Baskerville" w:eastAsia="Times" w:hAnsi="Baskerville" w:cs="Baskerville"/>
          <w:b/>
          <w:sz w:val="34"/>
          <w:szCs w:val="34"/>
        </w:rPr>
        <w:t xml:space="preserve">GLORIA </w:t>
      </w:r>
      <w:proofErr w:type="spellStart"/>
      <w:r w:rsidRPr="007C56A1">
        <w:rPr>
          <w:rFonts w:ascii="Baskerville" w:eastAsia="Times" w:hAnsi="Baskerville" w:cs="Baskerville"/>
          <w:b/>
          <w:sz w:val="34"/>
          <w:szCs w:val="34"/>
        </w:rPr>
        <w:t>McCAHON</w:t>
      </w:r>
      <w:proofErr w:type="spellEnd"/>
      <w:r w:rsidRPr="007C56A1">
        <w:rPr>
          <w:rFonts w:ascii="Baskerville" w:eastAsia="Times" w:hAnsi="Baskerville" w:cs="Baskerville"/>
          <w:b/>
          <w:sz w:val="34"/>
          <w:szCs w:val="34"/>
        </w:rPr>
        <w:t xml:space="preserve"> WHITING</w:t>
      </w:r>
    </w:p>
    <w:p w:rsidR="001E285A" w:rsidRPr="00175152" w:rsidRDefault="001E285A" w:rsidP="00C2136A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b/>
          <w:sz w:val="32"/>
          <w:szCs w:val="32"/>
        </w:rPr>
      </w:pPr>
    </w:p>
    <w:p w:rsidR="00EA21CA" w:rsidRPr="00175152" w:rsidRDefault="00EA21C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  <w:sectPr w:rsidR="00EA21CA" w:rsidRPr="00175152" w:rsidSect="003E48D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3B56" w:rsidRPr="00C2136A" w:rsidRDefault="007F30F2" w:rsidP="001853B6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sz w:val="25"/>
          <w:szCs w:val="25"/>
        </w:rPr>
      </w:pPr>
      <w:r w:rsidRPr="007F30F2">
        <w:rPr>
          <w:rFonts w:ascii="Baskerville" w:eastAsia="Times" w:hAnsi="Baskerville" w:cs="Baskerville"/>
          <w:sz w:val="25"/>
          <w:szCs w:val="25"/>
        </w:rPr>
        <w:lastRenderedPageBreak/>
        <w:t>U</w:t>
      </w:r>
      <w:r>
        <w:rPr>
          <w:rFonts w:ascii="Baskerville" w:eastAsia="Times" w:hAnsi="Baskerville" w:cs="Baskerville"/>
          <w:sz w:val="25"/>
          <w:szCs w:val="25"/>
        </w:rPr>
        <w:t>niversity of Wisconsin</w:t>
      </w:r>
      <w:r w:rsidRPr="007F30F2">
        <w:rPr>
          <w:rFonts w:ascii="Baskerville" w:eastAsia="Times" w:hAnsi="Baskerville" w:cs="Baskerville"/>
          <w:sz w:val="25"/>
          <w:szCs w:val="25"/>
        </w:rPr>
        <w:t>–Madison</w:t>
      </w:r>
      <w:r w:rsidR="001853B6">
        <w:rPr>
          <w:rFonts w:ascii="Baskerville" w:eastAsia="Times" w:hAnsi="Baskerville" w:cs="Baskerville"/>
          <w:sz w:val="25"/>
          <w:szCs w:val="25"/>
        </w:rPr>
        <w:t xml:space="preserve"> </w:t>
      </w:r>
      <w:r w:rsidR="003564A2" w:rsidRPr="00C2136A">
        <w:rPr>
          <w:rFonts w:ascii="Baskerville" w:eastAsia="Times" w:hAnsi="Baskerville" w:cs="Baskerville"/>
          <w:sz w:val="25"/>
          <w:szCs w:val="25"/>
        </w:rPr>
        <w:t>Department of History</w:t>
      </w:r>
    </w:p>
    <w:p w:rsidR="0012222D" w:rsidRPr="00C2136A" w:rsidRDefault="007F30F2" w:rsidP="007F30F2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5108 </w:t>
      </w:r>
      <w:proofErr w:type="spellStart"/>
      <w:r>
        <w:rPr>
          <w:rFonts w:ascii="Baskerville" w:eastAsia="Times" w:hAnsi="Baskerville" w:cs="Baskerville"/>
          <w:sz w:val="25"/>
          <w:szCs w:val="25"/>
        </w:rPr>
        <w:t>Mosse</w:t>
      </w:r>
      <w:proofErr w:type="spellEnd"/>
      <w:r>
        <w:rPr>
          <w:rFonts w:ascii="Baskerville" w:eastAsia="Times" w:hAnsi="Baskerville" w:cs="Baskerville"/>
          <w:sz w:val="25"/>
          <w:szCs w:val="25"/>
        </w:rPr>
        <w:t xml:space="preserve"> Humanities Building</w:t>
      </w:r>
    </w:p>
    <w:p w:rsidR="003564A2" w:rsidRPr="00C2136A" w:rsidRDefault="007F30F2" w:rsidP="007F30F2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>455 North Park Street</w:t>
      </w:r>
      <w:r w:rsidR="001853B6">
        <w:rPr>
          <w:rFonts w:ascii="Baskerville" w:eastAsia="Times" w:hAnsi="Baskerville" w:cs="Baskerville"/>
          <w:sz w:val="25"/>
          <w:szCs w:val="25"/>
        </w:rPr>
        <w:t xml:space="preserve"> </w:t>
      </w:r>
      <w:r w:rsidR="001853B6" w:rsidRPr="001853B6">
        <w:rPr>
          <w:rFonts w:ascii="Baskerville" w:eastAsia="Times" w:hAnsi="Baskerville" w:cs="Baskerville"/>
          <w:sz w:val="25"/>
          <w:szCs w:val="25"/>
        </w:rPr>
        <w:t>|</w:t>
      </w:r>
      <w:r w:rsidR="001853B6">
        <w:rPr>
          <w:rFonts w:ascii="Baskerville" w:eastAsia="Times" w:hAnsi="Baskerville" w:cs="Baskerville"/>
          <w:sz w:val="25"/>
          <w:szCs w:val="25"/>
        </w:rPr>
        <w:t xml:space="preserve"> </w:t>
      </w:r>
      <w:r>
        <w:rPr>
          <w:rFonts w:ascii="Baskerville" w:eastAsia="Times" w:hAnsi="Baskerville" w:cs="Baskerville"/>
          <w:sz w:val="25"/>
          <w:szCs w:val="25"/>
        </w:rPr>
        <w:t>Madison, WI 53706</w:t>
      </w:r>
    </w:p>
    <w:p w:rsidR="003564A2" w:rsidRPr="00C2136A" w:rsidRDefault="001853B6" w:rsidP="007F30F2">
      <w:pPr>
        <w:widowControl w:val="0"/>
        <w:spacing w:after="0" w:line="240" w:lineRule="auto"/>
        <w:jc w:val="center"/>
        <w:rPr>
          <w:rFonts w:ascii="Baskerville" w:eastAsia="Times" w:hAnsi="Baskerville" w:cs="Baskerville"/>
          <w:sz w:val="25"/>
          <w:szCs w:val="25"/>
        </w:rPr>
        <w:sectPr w:rsidR="003564A2" w:rsidRPr="00C2136A" w:rsidSect="007F30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53B6">
        <w:rPr>
          <w:rFonts w:ascii="Baskerville" w:eastAsia="Times" w:hAnsi="Baskerville" w:cs="Baskerville"/>
          <w:sz w:val="25"/>
          <w:szCs w:val="25"/>
        </w:rPr>
        <w:t>gwhiting@wisc.edu |</w:t>
      </w:r>
      <w:r>
        <w:rPr>
          <w:rFonts w:ascii="Baskerville" w:eastAsia="Times" w:hAnsi="Baskerville" w:cs="Baskerville"/>
          <w:sz w:val="25"/>
          <w:szCs w:val="25"/>
        </w:rPr>
        <w:t xml:space="preserve"> </w:t>
      </w:r>
      <w:r w:rsidR="00452615" w:rsidRPr="00C2136A">
        <w:rPr>
          <w:rFonts w:ascii="Baskerville" w:eastAsia="Times" w:hAnsi="Baskerville" w:cs="Baskerville"/>
          <w:sz w:val="25"/>
          <w:szCs w:val="25"/>
        </w:rPr>
        <w:t>413.575.</w:t>
      </w:r>
      <w:r w:rsidR="003564A2" w:rsidRPr="00C2136A">
        <w:rPr>
          <w:rFonts w:ascii="Baskerville" w:eastAsia="Times" w:hAnsi="Baskerville" w:cs="Baskerville"/>
          <w:sz w:val="25"/>
          <w:szCs w:val="25"/>
        </w:rPr>
        <w:t>6854</w:t>
      </w:r>
    </w:p>
    <w:p w:rsidR="007F30F2" w:rsidRDefault="007F30F2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  <w:sectPr w:rsidR="007F30F2" w:rsidSect="00D53F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FF8" w:rsidRDefault="00E01FF8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>
        <w:rPr>
          <w:rFonts w:ascii="Baskerville" w:eastAsia="Times" w:hAnsi="Baskerville" w:cs="Baskerville"/>
          <w:b/>
          <w:sz w:val="30"/>
          <w:szCs w:val="30"/>
        </w:rPr>
        <w:lastRenderedPageBreak/>
        <w:t xml:space="preserve">ACADEMIC EMPLOYMENT </w:t>
      </w:r>
    </w:p>
    <w:p w:rsidR="00E01FF8" w:rsidRDefault="00E01FF8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</w:p>
    <w:p w:rsidR="00875519" w:rsidRDefault="00E01FF8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E01FF8">
        <w:rPr>
          <w:rFonts w:ascii="Baskerville" w:eastAsia="Times" w:hAnsi="Baskerville" w:cs="Baskerville"/>
          <w:sz w:val="25"/>
          <w:szCs w:val="25"/>
        </w:rPr>
        <w:t xml:space="preserve">Assistant Professor of </w:t>
      </w:r>
      <w:r>
        <w:rPr>
          <w:rFonts w:ascii="Baskerville" w:eastAsia="Times" w:hAnsi="Baskerville" w:cs="Baskerville"/>
          <w:sz w:val="25"/>
          <w:szCs w:val="25"/>
        </w:rPr>
        <w:t>History</w:t>
      </w:r>
      <w:r w:rsidR="00E70F9B">
        <w:rPr>
          <w:rFonts w:ascii="Baskerville" w:eastAsia="Times" w:hAnsi="Baskerville" w:cs="Baskerville"/>
          <w:sz w:val="25"/>
          <w:szCs w:val="25"/>
        </w:rPr>
        <w:t>,</w:t>
      </w:r>
      <w:r>
        <w:rPr>
          <w:rFonts w:ascii="Baskerville" w:eastAsia="Times" w:hAnsi="Baskerville" w:cs="Baskerville"/>
          <w:sz w:val="25"/>
          <w:szCs w:val="25"/>
        </w:rPr>
        <w:t xml:space="preserve"> </w:t>
      </w:r>
      <w:r w:rsidRPr="00E01FF8">
        <w:rPr>
          <w:rFonts w:ascii="Baskerville" w:eastAsia="Times" w:hAnsi="Baskerville" w:cs="Baskerville"/>
          <w:sz w:val="25"/>
          <w:szCs w:val="25"/>
        </w:rPr>
        <w:t>University of Wisconsin</w:t>
      </w:r>
      <w:r w:rsidR="00790A89" w:rsidRPr="00790A89">
        <w:rPr>
          <w:rFonts w:ascii="Baskerville" w:eastAsia="Times" w:hAnsi="Baskerville" w:cs="Baskerville"/>
          <w:sz w:val="25"/>
          <w:szCs w:val="25"/>
        </w:rPr>
        <w:t>–</w:t>
      </w:r>
      <w:r w:rsidRPr="00E01FF8">
        <w:rPr>
          <w:rFonts w:ascii="Baskerville" w:eastAsia="Times" w:hAnsi="Baskerville" w:cs="Baskerville"/>
          <w:sz w:val="25"/>
          <w:szCs w:val="25"/>
        </w:rPr>
        <w:t>Madison</w:t>
      </w:r>
    </w:p>
    <w:p w:rsidR="00E01FF8" w:rsidRPr="00E01FF8" w:rsidRDefault="00E4282C" w:rsidP="00E4282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E01FF8">
        <w:rPr>
          <w:rFonts w:ascii="Baskerville" w:eastAsia="Times" w:hAnsi="Baskerville" w:cs="Baskerville"/>
          <w:sz w:val="25"/>
          <w:szCs w:val="25"/>
        </w:rPr>
        <w:t>January 2016</w:t>
      </w:r>
      <w:r w:rsidR="00A6339F">
        <w:rPr>
          <w:rFonts w:ascii="Baskerville" w:eastAsia="Times" w:hAnsi="Baskerville" w:cs="Baskerville"/>
          <w:sz w:val="25"/>
          <w:szCs w:val="25"/>
        </w:rPr>
        <w:t xml:space="preserve"> – present </w:t>
      </w:r>
    </w:p>
    <w:p w:rsidR="00E01FF8" w:rsidRDefault="00E01FF8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</w:p>
    <w:p w:rsidR="003564A2" w:rsidRPr="007C56A1" w:rsidRDefault="003564A2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EDUCATION</w:t>
      </w:r>
    </w:p>
    <w:p w:rsidR="003564A2" w:rsidRPr="00175152" w:rsidRDefault="003564A2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B25A93" w:rsidRPr="00C2136A" w:rsidRDefault="00B25A9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b/>
          <w:sz w:val="25"/>
          <w:szCs w:val="25"/>
        </w:rPr>
        <w:t>Harvard University</w:t>
      </w:r>
      <w:r w:rsidRPr="00C2136A">
        <w:rPr>
          <w:rFonts w:ascii="Baskerville" w:eastAsia="Times" w:hAnsi="Baskerville" w:cs="Baskerville"/>
          <w:sz w:val="25"/>
          <w:szCs w:val="25"/>
        </w:rPr>
        <w:t>, Cambridge, MA</w:t>
      </w:r>
    </w:p>
    <w:p w:rsidR="00B25A93" w:rsidRPr="00C2136A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Master of Arts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 in </w:t>
      </w:r>
      <w:proofErr w:type="gramStart"/>
      <w:r w:rsidR="00B25A93" w:rsidRPr="00C2136A">
        <w:rPr>
          <w:rFonts w:ascii="Baskerville" w:eastAsia="Times" w:hAnsi="Baskerville" w:cs="Baskerville"/>
          <w:sz w:val="25"/>
          <w:szCs w:val="25"/>
        </w:rPr>
        <w:t>History,</w:t>
      </w:r>
      <w:proofErr w:type="gramEnd"/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 May 2010</w:t>
      </w:r>
    </w:p>
    <w:p w:rsidR="00B25A93" w:rsidRPr="00C2136A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Doctor of Philosophy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 in</w:t>
      </w:r>
      <w:r w:rsidR="00D222F7" w:rsidRPr="00C2136A">
        <w:rPr>
          <w:rFonts w:ascii="Baskerville" w:eastAsia="Times" w:hAnsi="Baskerville" w:cs="Baskerville"/>
          <w:sz w:val="25"/>
          <w:szCs w:val="25"/>
        </w:rPr>
        <w:t xml:space="preserve"> History expected </w:t>
      </w:r>
      <w:r w:rsidR="00A6339F">
        <w:rPr>
          <w:rFonts w:ascii="Baskerville" w:eastAsia="Times" w:hAnsi="Baskerville" w:cs="Baskerville"/>
          <w:sz w:val="25"/>
          <w:szCs w:val="25"/>
        </w:rPr>
        <w:t>May 2016</w:t>
      </w:r>
    </w:p>
    <w:p w:rsidR="00BC3C16" w:rsidRDefault="00BC3C16" w:rsidP="00C2136A">
      <w:pPr>
        <w:widowControl w:val="0"/>
        <w:spacing w:after="0" w:line="240" w:lineRule="auto"/>
        <w:rPr>
          <w:rFonts w:ascii="Baskerville" w:eastAsia="Times" w:hAnsi="Baskerville" w:cs="Baskerville"/>
          <w:i/>
          <w:sz w:val="25"/>
          <w:szCs w:val="25"/>
        </w:rPr>
      </w:pPr>
    </w:p>
    <w:p w:rsidR="00B25A93" w:rsidRPr="00C2136A" w:rsidRDefault="00B25A9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BC3C16">
        <w:rPr>
          <w:rFonts w:ascii="Baskerville" w:eastAsia="Times" w:hAnsi="Baskerville" w:cs="Baskerville"/>
          <w:i/>
          <w:sz w:val="25"/>
          <w:szCs w:val="25"/>
        </w:rPr>
        <w:t>Research Interests</w:t>
      </w:r>
      <w:r w:rsidRPr="00BC3C16">
        <w:rPr>
          <w:rFonts w:ascii="Baskerville" w:eastAsia="Times" w:hAnsi="Baskerville" w:cs="Baskerville"/>
          <w:sz w:val="25"/>
          <w:szCs w:val="25"/>
        </w:rPr>
        <w:t>: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 xml:space="preserve">Early </w:t>
      </w:r>
      <w:r w:rsidR="00DC680C">
        <w:rPr>
          <w:rFonts w:ascii="Baskerville" w:eastAsia="Times" w:hAnsi="Baskerville" w:cs="Baskerville"/>
          <w:sz w:val="25"/>
          <w:szCs w:val="25"/>
        </w:rPr>
        <w:t xml:space="preserve">North 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 xml:space="preserve">American </w:t>
      </w:r>
      <w:r w:rsidRPr="00C2136A">
        <w:rPr>
          <w:rFonts w:ascii="Baskerville" w:eastAsia="Times" w:hAnsi="Baskerville" w:cs="Baskerville"/>
          <w:sz w:val="25"/>
          <w:szCs w:val="25"/>
        </w:rPr>
        <w:t>Social, Cultur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 xml:space="preserve">al, and Material History; 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 xml:space="preserve">Women’s, Gender, and Family History; 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>Race and Slavery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 xml:space="preserve"> in the Atlantic World</w:t>
      </w:r>
      <w:r w:rsidRPr="00C2136A">
        <w:rPr>
          <w:rFonts w:ascii="Baskerville" w:eastAsia="Times" w:hAnsi="Baskerville" w:cs="Baskerville"/>
          <w:sz w:val="25"/>
          <w:szCs w:val="25"/>
        </w:rPr>
        <w:t>.</w:t>
      </w:r>
    </w:p>
    <w:p w:rsidR="00BC3C16" w:rsidRDefault="00BC3C16" w:rsidP="00C2136A">
      <w:pPr>
        <w:widowControl w:val="0"/>
        <w:spacing w:after="0" w:line="240" w:lineRule="auto"/>
        <w:rPr>
          <w:rFonts w:ascii="Baskerville" w:eastAsia="Times" w:hAnsi="Baskerville" w:cs="Baskerville"/>
          <w:i/>
          <w:sz w:val="25"/>
          <w:szCs w:val="25"/>
        </w:rPr>
      </w:pPr>
    </w:p>
    <w:p w:rsidR="00B25A93" w:rsidRPr="00BC3C16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BC3C16">
        <w:rPr>
          <w:rFonts w:ascii="Baskerville" w:eastAsia="Times" w:hAnsi="Baskerville" w:cs="Baskerville"/>
          <w:i/>
          <w:sz w:val="25"/>
          <w:szCs w:val="25"/>
        </w:rPr>
        <w:t xml:space="preserve">General </w:t>
      </w:r>
      <w:proofErr w:type="gramStart"/>
      <w:r w:rsidRPr="00BC3C16">
        <w:rPr>
          <w:rFonts w:ascii="Baskerville" w:eastAsia="Times" w:hAnsi="Baskerville" w:cs="Baskerville"/>
          <w:i/>
          <w:sz w:val="25"/>
          <w:szCs w:val="25"/>
        </w:rPr>
        <w:t>Examination,</w:t>
      </w:r>
      <w:proofErr w:type="gramEnd"/>
      <w:r w:rsidRPr="00BC3C16">
        <w:rPr>
          <w:rFonts w:ascii="Baskerville" w:eastAsia="Times" w:hAnsi="Baskerville" w:cs="Baskerville"/>
          <w:i/>
          <w:sz w:val="25"/>
          <w:szCs w:val="25"/>
        </w:rPr>
        <w:t xml:space="preserve"> passed with the highest distinction, in the following f</w:t>
      </w:r>
      <w:r w:rsidR="00B25A93" w:rsidRPr="00BC3C16">
        <w:rPr>
          <w:rFonts w:ascii="Baskerville" w:eastAsia="Times" w:hAnsi="Baskerville" w:cs="Baskerville"/>
          <w:i/>
          <w:sz w:val="25"/>
          <w:szCs w:val="25"/>
        </w:rPr>
        <w:t>ields</w:t>
      </w:r>
      <w:r w:rsidR="00B25A93" w:rsidRPr="00BC3C16">
        <w:rPr>
          <w:rFonts w:ascii="Baskerville" w:eastAsia="Times" w:hAnsi="Baskerville" w:cs="Baskerville"/>
          <w:sz w:val="25"/>
          <w:szCs w:val="25"/>
        </w:rPr>
        <w:t xml:space="preserve">: </w:t>
      </w:r>
    </w:p>
    <w:p w:rsidR="00B25A93" w:rsidRPr="00C2136A" w:rsidRDefault="00E4282C" w:rsidP="00E4282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Early American History, with Professor Jill </w:t>
      </w:r>
      <w:proofErr w:type="spellStart"/>
      <w:r w:rsidR="00B25A93" w:rsidRPr="00C2136A">
        <w:rPr>
          <w:rFonts w:ascii="Baskerville" w:eastAsia="Times" w:hAnsi="Baskerville" w:cs="Baskerville"/>
          <w:sz w:val="25"/>
          <w:szCs w:val="25"/>
        </w:rPr>
        <w:t>Lepore</w:t>
      </w:r>
      <w:proofErr w:type="spellEnd"/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</w:p>
    <w:p w:rsidR="00B25A93" w:rsidRPr="00C2136A" w:rsidRDefault="00E4282C" w:rsidP="00E4282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Modern American History, with Professor Walter Johnson </w:t>
      </w:r>
    </w:p>
    <w:p w:rsidR="00070308" w:rsidRPr="00C2136A" w:rsidRDefault="00E4282C" w:rsidP="00E4282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>History of the Atlantic World, with Professor Vincent Brown</w:t>
      </w:r>
    </w:p>
    <w:p w:rsidR="00B25A93" w:rsidRPr="00C2136A" w:rsidRDefault="00E4282C" w:rsidP="00E4282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>Early African History, with Professor Charlotte Walker</w:t>
      </w:r>
    </w:p>
    <w:p w:rsidR="00A051B3" w:rsidRPr="00C2136A" w:rsidRDefault="00A051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B25A93" w:rsidRPr="00C2136A" w:rsidRDefault="00B25A9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b/>
          <w:sz w:val="25"/>
          <w:szCs w:val="25"/>
        </w:rPr>
        <w:t>Rice University</w:t>
      </w:r>
      <w:r w:rsidRPr="00C2136A">
        <w:rPr>
          <w:rFonts w:ascii="Baskerville" w:eastAsia="Times" w:hAnsi="Baskerville" w:cs="Baskerville"/>
          <w:sz w:val="25"/>
          <w:szCs w:val="25"/>
        </w:rPr>
        <w:t>, Houston, TX</w:t>
      </w:r>
    </w:p>
    <w:p w:rsidR="00B25A93" w:rsidRPr="00C2136A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Bachelor of Arts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B25A93" w:rsidRPr="00C2136A">
        <w:rPr>
          <w:rFonts w:ascii="Baskerville" w:eastAsia="Times" w:hAnsi="Baskerville" w:cs="Baskerville"/>
          <w:i/>
          <w:sz w:val="25"/>
          <w:szCs w:val="25"/>
        </w:rPr>
        <w:t>summa cum laude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>, Phi Beta Kappa, with Honors in History, May 2006</w:t>
      </w:r>
    </w:p>
    <w:p w:rsidR="003564A2" w:rsidRPr="00175152" w:rsidRDefault="00B25A9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 w:rsidRPr="00C2136A">
        <w:rPr>
          <w:rFonts w:ascii="Baskerville" w:eastAsia="Times" w:hAnsi="Baskerville" w:cs="Baskerville"/>
          <w:sz w:val="25"/>
          <w:szCs w:val="25"/>
        </w:rPr>
        <w:t>Majors in History, English, and Policy Studies</w:t>
      </w:r>
    </w:p>
    <w:p w:rsidR="00B25A93" w:rsidRPr="00175152" w:rsidRDefault="00B25A9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272B0F" w:rsidRPr="007C56A1" w:rsidRDefault="00272B0F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DISSERTATION</w:t>
      </w:r>
    </w:p>
    <w:p w:rsidR="00272B0F" w:rsidRPr="00175152" w:rsidRDefault="00272B0F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272B0F" w:rsidRPr="00C2136A" w:rsidRDefault="00BA33A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</w:t>
      </w:r>
      <w:r w:rsidR="00C15F76" w:rsidRPr="00C2136A">
        <w:rPr>
          <w:rFonts w:ascii="Baskerville" w:eastAsia="Times" w:hAnsi="Baskerville" w:cs="Baskerville"/>
          <w:sz w:val="25"/>
          <w:szCs w:val="25"/>
        </w:rPr>
        <w:t xml:space="preserve">African Families, American Stories: Black Kin and Community in </w:t>
      </w:r>
      <w:r w:rsidR="00196AD4" w:rsidRPr="00C2136A">
        <w:rPr>
          <w:rFonts w:ascii="Baskerville" w:eastAsia="Times" w:hAnsi="Baskerville" w:cs="Baskerville"/>
          <w:sz w:val="25"/>
          <w:szCs w:val="25"/>
        </w:rPr>
        <w:t>Early New England</w:t>
      </w:r>
      <w:r w:rsidR="00C15F76" w:rsidRPr="00C2136A">
        <w:rPr>
          <w:rFonts w:ascii="Baskerville" w:eastAsia="Times" w:hAnsi="Baskerville" w:cs="Baskerville"/>
          <w:sz w:val="25"/>
          <w:szCs w:val="25"/>
        </w:rPr>
        <w:t>.”</w:t>
      </w:r>
      <w:r w:rsidR="00272B0F" w:rsidRPr="00C2136A">
        <w:rPr>
          <w:rFonts w:ascii="Baskerville" w:eastAsia="Times" w:hAnsi="Baskerville" w:cs="Baskerville"/>
          <w:sz w:val="25"/>
          <w:szCs w:val="25"/>
        </w:rPr>
        <w:t xml:space="preserve">  </w:t>
      </w:r>
    </w:p>
    <w:p w:rsidR="00C15F76" w:rsidRPr="00C2136A" w:rsidRDefault="00196AD4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C30EE6" w:rsidRPr="00C2136A">
        <w:rPr>
          <w:rFonts w:ascii="Baskerville" w:eastAsia="Times" w:hAnsi="Baskerville" w:cs="Baskerville"/>
          <w:sz w:val="25"/>
          <w:szCs w:val="25"/>
        </w:rPr>
        <w:t>Advis</w:t>
      </w:r>
      <w:r w:rsidR="00C15F76" w:rsidRPr="00C2136A">
        <w:rPr>
          <w:rFonts w:ascii="Baskerville" w:eastAsia="Times" w:hAnsi="Baskerville" w:cs="Baskerville"/>
          <w:sz w:val="25"/>
          <w:szCs w:val="25"/>
        </w:rPr>
        <w:t>o</w:t>
      </w:r>
      <w:r w:rsidR="00272B0F" w:rsidRPr="00C2136A">
        <w:rPr>
          <w:rFonts w:ascii="Baskerville" w:eastAsia="Times" w:hAnsi="Baskerville" w:cs="Baskerville"/>
          <w:sz w:val="25"/>
          <w:szCs w:val="25"/>
        </w:rPr>
        <w:t>r: Laurel Thatcher Ulrich</w:t>
      </w:r>
    </w:p>
    <w:p w:rsidR="00BB0B1B" w:rsidRPr="00C2136A" w:rsidRDefault="00196AD4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>Reader</w:t>
      </w:r>
      <w:r w:rsidR="00BB0B1B" w:rsidRPr="00C2136A">
        <w:rPr>
          <w:rFonts w:ascii="Baskerville" w:eastAsia="Times" w:hAnsi="Baskerville" w:cs="Baskerville"/>
          <w:sz w:val="25"/>
          <w:szCs w:val="25"/>
        </w:rPr>
        <w:t>s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: </w:t>
      </w:r>
      <w:r w:rsidR="00C64344">
        <w:rPr>
          <w:rFonts w:ascii="Baskerville" w:eastAsia="Times" w:hAnsi="Baskerville" w:cs="Baskerville"/>
          <w:sz w:val="25"/>
          <w:szCs w:val="25"/>
        </w:rPr>
        <w:t xml:space="preserve">Annette Gordon-Reed, </w:t>
      </w:r>
      <w:r w:rsidR="007F30F2" w:rsidRPr="007F30F2">
        <w:rPr>
          <w:rFonts w:ascii="Baskerville" w:eastAsia="Times" w:hAnsi="Baskerville" w:cs="Baskerville"/>
          <w:sz w:val="25"/>
          <w:szCs w:val="25"/>
        </w:rPr>
        <w:t>Walter Johnson</w:t>
      </w:r>
      <w:r w:rsidR="007F30F2">
        <w:rPr>
          <w:rFonts w:ascii="Baskerville" w:eastAsia="Times" w:hAnsi="Baskerville" w:cs="Baskerville"/>
          <w:sz w:val="25"/>
          <w:szCs w:val="25"/>
        </w:rPr>
        <w:t xml:space="preserve">, </w:t>
      </w:r>
      <w:r w:rsidR="00C64344">
        <w:rPr>
          <w:rFonts w:ascii="Baskerville" w:eastAsia="Times" w:hAnsi="Baskerville" w:cs="Baskerville"/>
          <w:sz w:val="25"/>
          <w:szCs w:val="25"/>
        </w:rPr>
        <w:t xml:space="preserve">Jane </w:t>
      </w:r>
      <w:proofErr w:type="spellStart"/>
      <w:r w:rsidR="00C64344">
        <w:rPr>
          <w:rFonts w:ascii="Baskerville" w:eastAsia="Times" w:hAnsi="Baskerville" w:cs="Baskerville"/>
          <w:sz w:val="25"/>
          <w:szCs w:val="25"/>
        </w:rPr>
        <w:t>Kamensky</w:t>
      </w:r>
      <w:proofErr w:type="spellEnd"/>
      <w:r w:rsidR="00C64344">
        <w:rPr>
          <w:rFonts w:ascii="Baskerville" w:eastAsia="Times" w:hAnsi="Baskerville" w:cs="Baskerville"/>
          <w:sz w:val="25"/>
          <w:szCs w:val="25"/>
        </w:rPr>
        <w:t xml:space="preserve">, </w:t>
      </w:r>
      <w:r w:rsidR="00B25A93" w:rsidRPr="00C2136A">
        <w:rPr>
          <w:rFonts w:ascii="Baskerville" w:eastAsia="Times" w:hAnsi="Baskerville" w:cs="Baskerville"/>
          <w:sz w:val="25"/>
          <w:szCs w:val="25"/>
        </w:rPr>
        <w:t xml:space="preserve">Jill </w:t>
      </w:r>
      <w:proofErr w:type="spellStart"/>
      <w:r w:rsidR="00B25A93" w:rsidRPr="00C2136A">
        <w:rPr>
          <w:rFonts w:ascii="Baskerville" w:eastAsia="Times" w:hAnsi="Baskerville" w:cs="Baskerville"/>
          <w:sz w:val="25"/>
          <w:szCs w:val="25"/>
        </w:rPr>
        <w:t>Lepore</w:t>
      </w:r>
      <w:proofErr w:type="spellEnd"/>
    </w:p>
    <w:p w:rsidR="00272B0F" w:rsidRPr="00175152" w:rsidRDefault="00272B0F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537E97" w:rsidRPr="007C56A1" w:rsidRDefault="003564A2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  <w:sectPr w:rsidR="00537E97" w:rsidRPr="007C56A1" w:rsidSect="00D53F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56A1">
        <w:rPr>
          <w:rFonts w:ascii="Baskerville" w:eastAsia="Times" w:hAnsi="Baskerville" w:cs="Baskerville"/>
          <w:b/>
          <w:sz w:val="30"/>
          <w:szCs w:val="30"/>
        </w:rPr>
        <w:t>FELLOWSHIP</w:t>
      </w:r>
      <w:r w:rsidR="0046136F" w:rsidRPr="007C56A1">
        <w:rPr>
          <w:rFonts w:ascii="Baskerville" w:eastAsia="Times" w:hAnsi="Baskerville" w:cs="Baskerville"/>
          <w:b/>
          <w:sz w:val="30"/>
          <w:szCs w:val="30"/>
        </w:rPr>
        <w:t>S,</w:t>
      </w:r>
      <w:r w:rsidRPr="007C56A1">
        <w:rPr>
          <w:rFonts w:ascii="Baskerville" w:eastAsia="Times" w:hAnsi="Baskerville" w:cs="Baskerville"/>
          <w:b/>
          <w:sz w:val="30"/>
          <w:szCs w:val="30"/>
        </w:rPr>
        <w:t xml:space="preserve"> AWARD</w:t>
      </w:r>
      <w:r w:rsidR="0046136F" w:rsidRPr="007C56A1">
        <w:rPr>
          <w:rFonts w:ascii="Baskerville" w:eastAsia="Times" w:hAnsi="Baskerville" w:cs="Baskerville"/>
          <w:b/>
          <w:sz w:val="30"/>
          <w:szCs w:val="30"/>
        </w:rPr>
        <w:t xml:space="preserve">S, </w:t>
      </w:r>
      <w:r w:rsidR="00F631C1" w:rsidRPr="007C56A1">
        <w:rPr>
          <w:rFonts w:ascii="Baskerville" w:eastAsia="Times" w:hAnsi="Baskerville" w:cs="Baskerville"/>
          <w:b/>
          <w:sz w:val="30"/>
          <w:szCs w:val="30"/>
        </w:rPr>
        <w:t>&amp;</w:t>
      </w:r>
      <w:r w:rsidR="0046136F" w:rsidRPr="007C56A1">
        <w:rPr>
          <w:rFonts w:ascii="Baskerville" w:eastAsia="Times" w:hAnsi="Baskerville" w:cs="Baskerville"/>
          <w:b/>
          <w:sz w:val="30"/>
          <w:szCs w:val="30"/>
        </w:rPr>
        <w:t xml:space="preserve"> HONORS</w:t>
      </w:r>
      <w:r w:rsidR="00230099">
        <w:rPr>
          <w:rFonts w:ascii="Baskerville" w:eastAsia="Times" w:hAnsi="Baskerville" w:cs="Baskerville"/>
          <w:b/>
          <w:sz w:val="30"/>
          <w:szCs w:val="30"/>
        </w:rPr>
        <w:t xml:space="preserve"> (SELECTED)</w:t>
      </w:r>
    </w:p>
    <w:p w:rsidR="0038220C" w:rsidRPr="00175152" w:rsidRDefault="0038220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E70F9B" w:rsidRPr="00E70F9B" w:rsidRDefault="00E70F9B" w:rsidP="00E70F9B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E70F9B">
        <w:rPr>
          <w:rFonts w:ascii="Baskerville" w:eastAsia="Times" w:hAnsi="Baskerville" w:cs="Baskerville"/>
          <w:sz w:val="25"/>
          <w:szCs w:val="25"/>
        </w:rPr>
        <w:t>Graduate Student Travel Grant, Society for Historians of the Early American Republic, 2015</w:t>
      </w:r>
    </w:p>
    <w:p w:rsidR="00DA608F" w:rsidRPr="00C2136A" w:rsidRDefault="0053439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Dissertation</w:t>
      </w:r>
      <w:r w:rsidR="00D53FB3" w:rsidRPr="00C2136A">
        <w:rPr>
          <w:rFonts w:ascii="Baskerville" w:eastAsia="Times" w:hAnsi="Baskerville" w:cs="Baskerville"/>
          <w:sz w:val="25"/>
          <w:szCs w:val="25"/>
        </w:rPr>
        <w:t xml:space="preserve"> Completion</w:t>
      </w:r>
      <w:r w:rsidR="00DA608F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Fellowship</w:t>
      </w:r>
      <w:r w:rsidR="00DA608F" w:rsidRPr="00C2136A">
        <w:rPr>
          <w:rFonts w:ascii="Baskerville" w:eastAsia="Times" w:hAnsi="Baskerville" w:cs="Baskerville"/>
          <w:sz w:val="25"/>
          <w:szCs w:val="25"/>
        </w:rPr>
        <w:t>, Charles Warren Center, 2014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–</w:t>
      </w:r>
      <w:r w:rsidR="00DA608F" w:rsidRPr="00C2136A">
        <w:rPr>
          <w:rFonts w:ascii="Baskerville" w:eastAsia="Times" w:hAnsi="Baskerville" w:cs="Baskerville"/>
          <w:sz w:val="25"/>
          <w:szCs w:val="25"/>
        </w:rPr>
        <w:t>2015</w:t>
      </w:r>
    </w:p>
    <w:p w:rsidR="007B23FF" w:rsidRPr="00C2136A" w:rsidRDefault="00957DAB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Graduate Society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 xml:space="preserve"> Dissertation </w:t>
      </w:r>
      <w:r w:rsidR="00070308" w:rsidRPr="00C2136A">
        <w:rPr>
          <w:rFonts w:ascii="Baskerville" w:eastAsia="Times" w:hAnsi="Baskerville" w:cs="Baskerville"/>
          <w:sz w:val="25"/>
          <w:szCs w:val="25"/>
        </w:rPr>
        <w:t xml:space="preserve">Completion 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 xml:space="preserve">Fellowship, 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Harvard University, 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2014–2015 (declined)</w:t>
      </w:r>
    </w:p>
    <w:p w:rsidR="00DC680C" w:rsidRPr="00DC680C" w:rsidRDefault="00DC680C" w:rsidP="00DC680C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DC680C">
        <w:rPr>
          <w:rFonts w:ascii="Baskerville" w:eastAsia="Times" w:hAnsi="Baskerville" w:cs="Baskerville"/>
          <w:sz w:val="25"/>
          <w:szCs w:val="25"/>
        </w:rPr>
        <w:lastRenderedPageBreak/>
        <w:t>Coordinating Council for Women in History Berkshire Fellowship Honorable Mention, 2014</w:t>
      </w:r>
    </w:p>
    <w:p w:rsidR="00886DAE" w:rsidRPr="00C2136A" w:rsidRDefault="00886DAE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Grant for Innovative Graduate Research, Center for American Political Studies, 2014</w:t>
      </w:r>
    </w:p>
    <w:p w:rsidR="008535E7" w:rsidRPr="00C2136A" w:rsidRDefault="001853B6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>Dissertation Research Fellowship</w:t>
      </w:r>
      <w:r w:rsidR="008535E7" w:rsidRPr="00C2136A">
        <w:rPr>
          <w:rFonts w:ascii="Baskerville" w:eastAsia="Times" w:hAnsi="Baskerville" w:cs="Baskerville"/>
          <w:sz w:val="25"/>
          <w:szCs w:val="25"/>
        </w:rPr>
        <w:t xml:space="preserve">, Charles Warren Center, </w:t>
      </w:r>
      <w:r>
        <w:rPr>
          <w:rFonts w:ascii="Baskerville" w:eastAsia="Times" w:hAnsi="Baskerville" w:cs="Baskerville"/>
          <w:sz w:val="25"/>
          <w:szCs w:val="25"/>
        </w:rPr>
        <w:t>2011, 2012, and 2013</w:t>
      </w:r>
      <w:r w:rsidR="008535E7" w:rsidRPr="00C2136A">
        <w:rPr>
          <w:rFonts w:ascii="Baskerville" w:eastAsia="Times" w:hAnsi="Baskerville" w:cs="Baskerville"/>
          <w:sz w:val="25"/>
          <w:szCs w:val="25"/>
        </w:rPr>
        <w:t xml:space="preserve"> (declined) 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New England Regional Consortium Fellowship Grant, 2012</w:t>
      </w:r>
      <w:r w:rsidR="00632677" w:rsidRPr="00C2136A">
        <w:rPr>
          <w:rFonts w:ascii="Baskerville" w:eastAsia="Times" w:hAnsi="Baskerville" w:cs="Baskerville"/>
          <w:sz w:val="25"/>
          <w:szCs w:val="25"/>
        </w:rPr>
        <w:t>–2013</w:t>
      </w:r>
    </w:p>
    <w:p w:rsidR="004F08D7" w:rsidRPr="00C2136A" w:rsidRDefault="0063267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Kate B. and Hall J. Peterson Fellowship, American Antiquarian Society, 2012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>–2013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Michael Kraus Research Grant in Colonial History, American Historical Association, 2012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proofErr w:type="spellStart"/>
      <w:r w:rsidRPr="00C2136A">
        <w:rPr>
          <w:rFonts w:ascii="Baskerville" w:eastAsia="Times" w:hAnsi="Baskerville" w:cs="Baskerville"/>
          <w:sz w:val="25"/>
          <w:szCs w:val="25"/>
        </w:rPr>
        <w:t>Artemas</w:t>
      </w:r>
      <w:proofErr w:type="spellEnd"/>
      <w:r w:rsidRPr="00C2136A">
        <w:rPr>
          <w:rFonts w:ascii="Baskerville" w:eastAsia="Times" w:hAnsi="Baskerville" w:cs="Baskerville"/>
          <w:sz w:val="25"/>
          <w:szCs w:val="25"/>
        </w:rPr>
        <w:t xml:space="preserve"> Ward Fellowship for Dissertation Research, Harvard University, 2011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–</w:t>
      </w:r>
      <w:r w:rsidRPr="00C2136A">
        <w:rPr>
          <w:rFonts w:ascii="Baskerville" w:eastAsia="Times" w:hAnsi="Baskerville" w:cs="Baskerville"/>
          <w:sz w:val="25"/>
          <w:szCs w:val="25"/>
        </w:rPr>
        <w:t>2014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Summer Travel Award, Harvard University History Department, 2011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Graduate Society Term-Time Merit Fello</w:t>
      </w:r>
      <w:r w:rsidR="001853B6">
        <w:rPr>
          <w:rFonts w:ascii="Baskerville" w:eastAsia="Times" w:hAnsi="Baskerville" w:cs="Baskerville"/>
          <w:sz w:val="25"/>
          <w:szCs w:val="25"/>
        </w:rPr>
        <w:t xml:space="preserve">wship, Harvard University, 2011 </w:t>
      </w:r>
      <w:r w:rsidRPr="00C2136A">
        <w:rPr>
          <w:rFonts w:ascii="Baskerville" w:eastAsia="Times" w:hAnsi="Baskerville" w:cs="Baskerville"/>
          <w:sz w:val="25"/>
          <w:szCs w:val="25"/>
        </w:rPr>
        <w:t>(declined)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Richard A. Berenson Graduate Fellowship, Harvard University, 2010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–</w:t>
      </w:r>
      <w:r w:rsidRPr="00C2136A">
        <w:rPr>
          <w:rFonts w:ascii="Baskerville" w:eastAsia="Times" w:hAnsi="Baskerville" w:cs="Baskerville"/>
          <w:sz w:val="25"/>
          <w:szCs w:val="25"/>
        </w:rPr>
        <w:t>2013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Jacquelyn Dowd Hall Prize, Southern Association for Women Historians, 2009     </w:t>
      </w:r>
    </w:p>
    <w:p w:rsidR="008535E7" w:rsidRPr="00C2136A" w:rsidRDefault="008535E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Graduate School of Arts and Sciences Summer Fellowship, Harvard University, 2009 </w:t>
      </w:r>
    </w:p>
    <w:p w:rsidR="00830ED1" w:rsidRPr="00175152" w:rsidRDefault="00830ED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  <w:sectPr w:rsidR="00830ED1" w:rsidRPr="00175152" w:rsidSect="00D53F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076" w:rsidRPr="00175152" w:rsidRDefault="00403076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5E4EAE" w:rsidRPr="007C56A1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PUBLICATIONS</w:t>
      </w:r>
    </w:p>
    <w:p w:rsidR="005E4EAE" w:rsidRPr="00175152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790A89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“Power, Patriarchy, and Provision: African Families Negotiate Gender</w:t>
      </w:r>
      <w:r w:rsidR="00790A89">
        <w:rPr>
          <w:rFonts w:ascii="Baskerville" w:eastAsia="Times" w:hAnsi="Baskerville" w:cs="Baskerville"/>
          <w:sz w:val="25"/>
          <w:szCs w:val="25"/>
        </w:rPr>
        <w:t xml:space="preserve"> and Slavery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 in New England.” </w:t>
      </w:r>
    </w:p>
    <w:p w:rsidR="005E4EAE" w:rsidRDefault="00790A89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5E4EAE" w:rsidRPr="00900C2A">
        <w:rPr>
          <w:rFonts w:ascii="Baskerville" w:eastAsia="Times" w:hAnsi="Baskerville" w:cs="Baskerville"/>
          <w:sz w:val="25"/>
          <w:szCs w:val="25"/>
        </w:rPr>
        <w:t>The</w:t>
      </w:r>
      <w:r w:rsidR="005E4EAE">
        <w:rPr>
          <w:rFonts w:ascii="Baskerville" w:eastAsia="Times" w:hAnsi="Baskerville" w:cs="Baskerville"/>
          <w:sz w:val="25"/>
          <w:szCs w:val="25"/>
        </w:rPr>
        <w:t xml:space="preserve"> </w:t>
      </w:r>
      <w:r w:rsidR="005E4EAE" w:rsidRPr="00C2136A">
        <w:rPr>
          <w:rFonts w:ascii="Baskerville" w:eastAsia="Times" w:hAnsi="Baskerville" w:cs="Baskerville"/>
          <w:i/>
          <w:sz w:val="25"/>
          <w:szCs w:val="25"/>
        </w:rPr>
        <w:t>Journal of American History</w:t>
      </w:r>
      <w:r w:rsidR="005E4EAE">
        <w:rPr>
          <w:rFonts w:ascii="Baskerville" w:eastAsia="Times" w:hAnsi="Baskerville" w:cs="Baskerville"/>
          <w:sz w:val="25"/>
          <w:szCs w:val="25"/>
        </w:rPr>
        <w:t xml:space="preserve"> (</w:t>
      </w:r>
      <w:r w:rsidR="00A6339F">
        <w:rPr>
          <w:rFonts w:ascii="Baskerville" w:eastAsia="Times" w:hAnsi="Baskerville" w:cs="Baskerville"/>
          <w:sz w:val="25"/>
          <w:szCs w:val="25"/>
        </w:rPr>
        <w:t>article under contract</w:t>
      </w:r>
      <w:r w:rsidR="005E4EAE">
        <w:rPr>
          <w:rFonts w:ascii="Baskerville" w:eastAsia="Times" w:hAnsi="Baskerville" w:cs="Baskerville"/>
          <w:sz w:val="25"/>
          <w:szCs w:val="25"/>
        </w:rPr>
        <w:t>).</w:t>
      </w: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proofErr w:type="gramStart"/>
      <w:r w:rsidRPr="005E4EAE">
        <w:rPr>
          <w:rFonts w:ascii="Baskerville" w:eastAsia="Times" w:hAnsi="Baskerville" w:cs="Baskerville"/>
          <w:sz w:val="25"/>
          <w:szCs w:val="25"/>
        </w:rPr>
        <w:t>“Sojourners and Strangers in the Eighteenth-Century Atlantic.”</w:t>
      </w:r>
      <w:proofErr w:type="gramEnd"/>
      <w:r w:rsidRPr="005E4EAE">
        <w:rPr>
          <w:rFonts w:ascii="Baskerville" w:eastAsia="Times" w:hAnsi="Baskerville" w:cs="Baskerville"/>
          <w:sz w:val="25"/>
          <w:szCs w:val="25"/>
        </w:rPr>
        <w:t xml:space="preserve"> R</w:t>
      </w:r>
      <w:r>
        <w:rPr>
          <w:rFonts w:ascii="Baskerville" w:eastAsia="Times" w:hAnsi="Baskerville" w:cs="Baskerville"/>
          <w:sz w:val="25"/>
          <w:szCs w:val="25"/>
        </w:rPr>
        <w:t>eview of Cornelia H. Dayton and</w:t>
      </w: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Pr="005E4EAE">
        <w:rPr>
          <w:rFonts w:ascii="Baskerville" w:eastAsia="Times" w:hAnsi="Baskerville" w:cs="Baskerville"/>
          <w:sz w:val="25"/>
          <w:szCs w:val="25"/>
        </w:rPr>
        <w:t xml:space="preserve">Sharon V. Salinger, </w:t>
      </w:r>
      <w:r w:rsidRPr="005E4EAE">
        <w:rPr>
          <w:rFonts w:ascii="Baskerville" w:eastAsia="Times" w:hAnsi="Baskerville" w:cs="Baskerville"/>
          <w:i/>
          <w:sz w:val="25"/>
          <w:szCs w:val="25"/>
        </w:rPr>
        <w:t>Robert Love’s Warnings: Searching for Strangers in Colonial Boston</w:t>
      </w:r>
      <w:r>
        <w:rPr>
          <w:rFonts w:ascii="Baskerville" w:eastAsia="Times" w:hAnsi="Baskerville" w:cs="Baskerville"/>
          <w:sz w:val="25"/>
          <w:szCs w:val="25"/>
        </w:rPr>
        <w:t xml:space="preserve"> (Philadelphia:</w:t>
      </w:r>
    </w:p>
    <w:p w:rsidR="005E4EAE" w:rsidRP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Pr="005E4EAE">
        <w:rPr>
          <w:rFonts w:ascii="Baskerville" w:eastAsia="Times" w:hAnsi="Baskerville" w:cs="Baskerville"/>
          <w:sz w:val="25"/>
          <w:szCs w:val="25"/>
        </w:rPr>
        <w:t xml:space="preserve">University of Pennsylvania Press, 2014) in </w:t>
      </w:r>
      <w:r w:rsidRPr="005E4EAE">
        <w:rPr>
          <w:rFonts w:ascii="Baskerville" w:eastAsia="Times" w:hAnsi="Baskerville" w:cs="Baskerville"/>
          <w:i/>
          <w:sz w:val="25"/>
          <w:szCs w:val="25"/>
        </w:rPr>
        <w:t>Common-place</w:t>
      </w:r>
      <w:r w:rsidRPr="005E4EAE">
        <w:rPr>
          <w:rFonts w:ascii="Baskerville" w:eastAsia="Times" w:hAnsi="Baskerville" w:cs="Baskerville"/>
          <w:sz w:val="25"/>
          <w:szCs w:val="25"/>
        </w:rPr>
        <w:t xml:space="preserve">, </w:t>
      </w:r>
      <w:proofErr w:type="gramStart"/>
      <w:r w:rsidRPr="005E4EAE">
        <w:rPr>
          <w:rFonts w:ascii="Baskerville" w:eastAsia="Times" w:hAnsi="Baskerville" w:cs="Baskerville"/>
          <w:sz w:val="25"/>
          <w:szCs w:val="25"/>
        </w:rPr>
        <w:t>Winter</w:t>
      </w:r>
      <w:proofErr w:type="gramEnd"/>
      <w:r w:rsidRPr="005E4EAE">
        <w:rPr>
          <w:rFonts w:ascii="Baskerville" w:eastAsia="Times" w:hAnsi="Baskerville" w:cs="Baskerville"/>
          <w:sz w:val="25"/>
          <w:szCs w:val="25"/>
        </w:rPr>
        <w:t xml:space="preserve"> 2015.</w:t>
      </w:r>
    </w:p>
    <w:p w:rsidR="005E4EAE" w:rsidRPr="00C2136A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i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Review of Katherine </w:t>
      </w:r>
      <w:proofErr w:type="spellStart"/>
      <w:r w:rsidRPr="00C2136A">
        <w:rPr>
          <w:rFonts w:ascii="Baskerville" w:eastAsia="Times" w:hAnsi="Baskerville" w:cs="Baskerville"/>
          <w:sz w:val="25"/>
          <w:szCs w:val="25"/>
        </w:rPr>
        <w:t>Howlett</w:t>
      </w:r>
      <w:proofErr w:type="spellEnd"/>
      <w:r w:rsidRPr="00C2136A">
        <w:rPr>
          <w:rFonts w:ascii="Baskerville" w:eastAsia="Times" w:hAnsi="Baskerville" w:cs="Baskerville"/>
          <w:sz w:val="25"/>
          <w:szCs w:val="25"/>
        </w:rPr>
        <w:t xml:space="preserve"> Hayes, </w:t>
      </w:r>
      <w:r w:rsidRPr="00C2136A">
        <w:rPr>
          <w:rFonts w:ascii="Baskerville" w:eastAsia="Times" w:hAnsi="Baskerville" w:cs="Baskerville"/>
          <w:i/>
          <w:sz w:val="25"/>
          <w:szCs w:val="25"/>
        </w:rPr>
        <w:t xml:space="preserve">Slavery </w:t>
      </w:r>
      <w:proofErr w:type="gramStart"/>
      <w:r w:rsidRPr="00C2136A">
        <w:rPr>
          <w:rFonts w:ascii="Baskerville" w:eastAsia="Times" w:hAnsi="Baskerville" w:cs="Baskerville"/>
          <w:i/>
          <w:sz w:val="25"/>
          <w:szCs w:val="25"/>
        </w:rPr>
        <w:t>Before</w:t>
      </w:r>
      <w:proofErr w:type="gramEnd"/>
      <w:r w:rsidRPr="00C2136A">
        <w:rPr>
          <w:rFonts w:ascii="Baskerville" w:eastAsia="Times" w:hAnsi="Baskerville" w:cs="Baskerville"/>
          <w:i/>
          <w:sz w:val="25"/>
          <w:szCs w:val="25"/>
        </w:rPr>
        <w:t xml:space="preserve"> Race: Europeans, African</w:t>
      </w:r>
      <w:r>
        <w:rPr>
          <w:rFonts w:ascii="Baskerville" w:eastAsia="Times" w:hAnsi="Baskerville" w:cs="Baskerville"/>
          <w:i/>
          <w:sz w:val="25"/>
          <w:szCs w:val="25"/>
        </w:rPr>
        <w:t>s, and Indians at Long Island’s</w:t>
      </w: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i/>
          <w:sz w:val="25"/>
          <w:szCs w:val="25"/>
        </w:rPr>
      </w:pPr>
      <w:r>
        <w:rPr>
          <w:rFonts w:ascii="Baskerville" w:eastAsia="Times" w:hAnsi="Baskerville" w:cs="Baskerville"/>
          <w:i/>
          <w:sz w:val="25"/>
          <w:szCs w:val="25"/>
        </w:rPr>
        <w:t xml:space="preserve">     </w:t>
      </w:r>
      <w:r w:rsidRPr="00C2136A">
        <w:rPr>
          <w:rFonts w:ascii="Baskerville" w:eastAsia="Times" w:hAnsi="Baskerville" w:cs="Baskerville"/>
          <w:i/>
          <w:sz w:val="25"/>
          <w:szCs w:val="25"/>
        </w:rPr>
        <w:t>Sylvester Manor Plantation, 1651–1884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 (New York: New York University Press, 2013) in the </w:t>
      </w:r>
      <w:r>
        <w:rPr>
          <w:rFonts w:ascii="Baskerville" w:eastAsia="Times" w:hAnsi="Baskerville" w:cs="Baskerville"/>
          <w:i/>
          <w:sz w:val="25"/>
          <w:szCs w:val="25"/>
        </w:rPr>
        <w:t>Journal</w:t>
      </w:r>
    </w:p>
    <w:p w:rsidR="005E4EAE" w:rsidRPr="00C2136A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i/>
          <w:sz w:val="25"/>
          <w:szCs w:val="25"/>
        </w:rPr>
        <w:t xml:space="preserve">     </w:t>
      </w:r>
      <w:proofErr w:type="gramStart"/>
      <w:r w:rsidRPr="00C2136A">
        <w:rPr>
          <w:rFonts w:ascii="Baskerville" w:eastAsia="Times" w:hAnsi="Baskerville" w:cs="Baskerville"/>
          <w:i/>
          <w:sz w:val="25"/>
          <w:szCs w:val="25"/>
        </w:rPr>
        <w:t>of</w:t>
      </w:r>
      <w:proofErr w:type="gramEnd"/>
      <w:r w:rsidRPr="00C2136A">
        <w:rPr>
          <w:rFonts w:ascii="Baskerville" w:eastAsia="Times" w:hAnsi="Baskerville" w:cs="Baskerville"/>
          <w:i/>
          <w:sz w:val="25"/>
          <w:szCs w:val="25"/>
        </w:rPr>
        <w:t xml:space="preserve"> the Early Republic</w:t>
      </w:r>
      <w:r w:rsidRPr="00C2136A">
        <w:rPr>
          <w:rFonts w:ascii="Baskerville" w:eastAsia="Times" w:hAnsi="Baskerville" w:cs="Baskerville"/>
          <w:sz w:val="25"/>
          <w:szCs w:val="25"/>
        </w:rPr>
        <w:t>, Summer 2014: 285-287</w:t>
      </w:r>
      <w:r>
        <w:rPr>
          <w:rFonts w:ascii="Baskerville" w:eastAsia="Times" w:hAnsi="Baskerville" w:cs="Baskerville"/>
          <w:sz w:val="25"/>
          <w:szCs w:val="25"/>
        </w:rPr>
        <w:t>.</w:t>
      </w:r>
    </w:p>
    <w:p w:rsidR="005E4EAE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</w:p>
    <w:p w:rsidR="00537E97" w:rsidRPr="007C56A1" w:rsidRDefault="00FE136F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 xml:space="preserve">INVITED LECTURES </w:t>
      </w:r>
      <w:r w:rsidR="00F631C1" w:rsidRPr="007C56A1">
        <w:rPr>
          <w:rFonts w:ascii="Baskerville" w:eastAsia="Times" w:hAnsi="Baskerville" w:cs="Baskerville"/>
          <w:b/>
          <w:sz w:val="30"/>
          <w:szCs w:val="30"/>
        </w:rPr>
        <w:t>&amp;</w:t>
      </w:r>
      <w:r w:rsidRPr="007C56A1">
        <w:rPr>
          <w:rFonts w:ascii="Baskerville" w:eastAsia="Times" w:hAnsi="Baskerville" w:cs="Baskerville"/>
          <w:b/>
          <w:sz w:val="30"/>
          <w:szCs w:val="30"/>
        </w:rPr>
        <w:t xml:space="preserve"> </w:t>
      </w:r>
      <w:r w:rsidR="00272B0F" w:rsidRPr="007C56A1">
        <w:rPr>
          <w:rFonts w:ascii="Baskerville" w:eastAsia="Times" w:hAnsi="Baskerville" w:cs="Baskerville"/>
          <w:b/>
          <w:sz w:val="30"/>
          <w:szCs w:val="30"/>
        </w:rPr>
        <w:t xml:space="preserve">CONFERENCE </w:t>
      </w:r>
      <w:r w:rsidR="00E92EFC" w:rsidRPr="007C56A1">
        <w:rPr>
          <w:rFonts w:ascii="Baskerville" w:eastAsia="Times" w:hAnsi="Baskerville" w:cs="Baskerville"/>
          <w:b/>
          <w:sz w:val="30"/>
          <w:szCs w:val="30"/>
        </w:rPr>
        <w:t>PRESENTATIONS</w:t>
      </w:r>
      <w:r w:rsidR="00230099">
        <w:rPr>
          <w:rFonts w:ascii="Baskerville" w:eastAsia="Times" w:hAnsi="Baskerville" w:cs="Baskerville"/>
          <w:b/>
          <w:sz w:val="30"/>
          <w:szCs w:val="30"/>
        </w:rPr>
        <w:t xml:space="preserve"> (SELECTED)</w:t>
      </w:r>
    </w:p>
    <w:p w:rsidR="003E2C00" w:rsidRPr="00175152" w:rsidRDefault="003E2C0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751B6C" w:rsidRDefault="00B13EA3" w:rsidP="00C55419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proofErr w:type="gramStart"/>
      <w:r>
        <w:rPr>
          <w:rFonts w:ascii="Baskerville" w:eastAsia="Times" w:hAnsi="Baskerville" w:cs="Baskerville"/>
          <w:sz w:val="26"/>
          <w:szCs w:val="26"/>
        </w:rPr>
        <w:t>“Gender, Family, and Freedom in Post-Revolutionary New England.”</w:t>
      </w:r>
      <w:proofErr w:type="gramEnd"/>
      <w:r>
        <w:rPr>
          <w:rFonts w:ascii="Baskerville" w:eastAsia="Times" w:hAnsi="Baskerville" w:cs="Baskerville"/>
          <w:sz w:val="26"/>
          <w:szCs w:val="26"/>
        </w:rPr>
        <w:t xml:space="preserve"> </w:t>
      </w:r>
      <w:r w:rsidR="00C55419">
        <w:rPr>
          <w:rFonts w:ascii="Baskerville" w:eastAsia="Times" w:hAnsi="Baskerville" w:cs="Baskerville"/>
          <w:sz w:val="26"/>
          <w:szCs w:val="26"/>
        </w:rPr>
        <w:t>D</w:t>
      </w:r>
      <w:r>
        <w:rPr>
          <w:rFonts w:ascii="Baskerville" w:eastAsia="Times" w:hAnsi="Baskerville" w:cs="Baskerville"/>
          <w:sz w:val="26"/>
          <w:szCs w:val="26"/>
        </w:rPr>
        <w:t>elivered at the Annual</w:t>
      </w:r>
    </w:p>
    <w:p w:rsidR="00751B6C" w:rsidRDefault="00751B6C" w:rsidP="00C55419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  </w:t>
      </w:r>
      <w:r w:rsidR="00B13EA3">
        <w:rPr>
          <w:rFonts w:ascii="Baskerville" w:eastAsia="Times" w:hAnsi="Baskerville" w:cs="Baskerville"/>
          <w:sz w:val="26"/>
          <w:szCs w:val="26"/>
        </w:rPr>
        <w:t xml:space="preserve">Meeting of the Society for Historians of the Early American Republic, </w:t>
      </w:r>
      <w:r w:rsidR="00E01FF8">
        <w:rPr>
          <w:rFonts w:ascii="Baskerville" w:eastAsia="Times" w:hAnsi="Baskerville" w:cs="Baskerville"/>
          <w:sz w:val="26"/>
          <w:szCs w:val="26"/>
        </w:rPr>
        <w:t>Raleigh, North Carolina,</w:t>
      </w:r>
    </w:p>
    <w:p w:rsidR="00B13EA3" w:rsidRDefault="00751B6C" w:rsidP="00C55419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  </w:t>
      </w:r>
      <w:r w:rsidR="00E01FF8">
        <w:rPr>
          <w:rFonts w:ascii="Baskerville" w:eastAsia="Times" w:hAnsi="Baskerville" w:cs="Baskerville"/>
          <w:sz w:val="26"/>
          <w:szCs w:val="26"/>
        </w:rPr>
        <w:t>July 19</w:t>
      </w:r>
      <w:r w:rsidR="00B13EA3">
        <w:rPr>
          <w:rFonts w:ascii="Baskerville" w:eastAsia="Times" w:hAnsi="Baskerville" w:cs="Baskerville"/>
          <w:sz w:val="26"/>
          <w:szCs w:val="26"/>
        </w:rPr>
        <w:t xml:space="preserve">, 2015. </w:t>
      </w:r>
    </w:p>
    <w:p w:rsidR="00B13EA3" w:rsidRDefault="00B13EA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751B6C" w:rsidRDefault="00B13EA3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>“</w:t>
      </w:r>
      <w:r>
        <w:rPr>
          <w:rFonts w:ascii="Baskerville" w:eastAsia="Times" w:hAnsi="Baskerville" w:cs="Baskerville"/>
          <w:i/>
          <w:sz w:val="26"/>
          <w:szCs w:val="26"/>
        </w:rPr>
        <w:t>The Selling of Joseph</w:t>
      </w:r>
      <w:r>
        <w:rPr>
          <w:rFonts w:ascii="Baskerville" w:eastAsia="Times" w:hAnsi="Baskerville" w:cs="Baskerville"/>
          <w:sz w:val="26"/>
          <w:szCs w:val="26"/>
        </w:rPr>
        <w:t>: Slavery, Freedom, and Black Family Life in Samuel Sewall’s Neighborhood at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  </w:t>
      </w:r>
      <w:proofErr w:type="gramStart"/>
      <w:r w:rsidR="00B13EA3">
        <w:rPr>
          <w:rFonts w:ascii="Baskerville" w:eastAsia="Times" w:hAnsi="Baskerville" w:cs="Baskerville"/>
          <w:sz w:val="26"/>
          <w:szCs w:val="26"/>
        </w:rPr>
        <w:t>the</w:t>
      </w:r>
      <w:proofErr w:type="gramEnd"/>
      <w:r w:rsidR="00B13EA3">
        <w:rPr>
          <w:rFonts w:ascii="Baskerville" w:eastAsia="Times" w:hAnsi="Baskerville" w:cs="Baskerville"/>
          <w:sz w:val="26"/>
          <w:szCs w:val="26"/>
        </w:rPr>
        <w:t xml:space="preserve"> Turn of the Eighteenth Century.” </w:t>
      </w:r>
      <w:r w:rsidR="00E01FF8">
        <w:rPr>
          <w:rFonts w:ascii="Baskerville" w:eastAsia="Times" w:hAnsi="Baskerville" w:cs="Baskerville"/>
          <w:sz w:val="26"/>
          <w:szCs w:val="26"/>
        </w:rPr>
        <w:t>D</w:t>
      </w:r>
      <w:r w:rsidR="00B13EA3">
        <w:rPr>
          <w:rFonts w:ascii="Baskerville" w:eastAsia="Times" w:hAnsi="Baskerville" w:cs="Baskerville"/>
          <w:sz w:val="26"/>
          <w:szCs w:val="26"/>
        </w:rPr>
        <w:t>elivered at the Jo</w:t>
      </w:r>
      <w:r w:rsidR="005E4EAE">
        <w:rPr>
          <w:rFonts w:ascii="Baskerville" w:eastAsia="Times" w:hAnsi="Baskerville" w:cs="Baskerville"/>
          <w:sz w:val="26"/>
          <w:szCs w:val="26"/>
        </w:rPr>
        <w:t xml:space="preserve">int Conference of the </w:t>
      </w:r>
      <w:proofErr w:type="spellStart"/>
      <w:r w:rsidR="005E4EAE">
        <w:rPr>
          <w:rFonts w:ascii="Baskerville" w:eastAsia="Times" w:hAnsi="Baskerville" w:cs="Baskerville"/>
          <w:sz w:val="26"/>
          <w:szCs w:val="26"/>
        </w:rPr>
        <w:t>Omohundro</w:t>
      </w:r>
      <w:proofErr w:type="spellEnd"/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  </w:t>
      </w:r>
      <w:r w:rsidR="00B13EA3">
        <w:rPr>
          <w:rFonts w:ascii="Baskerville" w:eastAsia="Times" w:hAnsi="Baskerville" w:cs="Baskerville"/>
          <w:sz w:val="26"/>
          <w:szCs w:val="26"/>
        </w:rPr>
        <w:t xml:space="preserve">Institute for Early American History and Culture and the Society of Early </w:t>
      </w:r>
      <w:proofErr w:type="spellStart"/>
      <w:r w:rsidR="00B13EA3">
        <w:rPr>
          <w:rFonts w:ascii="Baskerville" w:eastAsia="Times" w:hAnsi="Baskerville" w:cs="Baskerville"/>
          <w:sz w:val="26"/>
          <w:szCs w:val="26"/>
        </w:rPr>
        <w:t>American</w:t>
      </w:r>
      <w:r>
        <w:rPr>
          <w:rFonts w:ascii="Baskerville" w:eastAsia="Times" w:hAnsi="Baskerville" w:cs="Baskerville"/>
          <w:sz w:val="26"/>
          <w:szCs w:val="26"/>
        </w:rPr>
        <w:t>ists</w:t>
      </w:r>
      <w:proofErr w:type="spellEnd"/>
      <w:r>
        <w:rPr>
          <w:rFonts w:ascii="Baskerville" w:eastAsia="Times" w:hAnsi="Baskerville" w:cs="Baskerville"/>
          <w:sz w:val="26"/>
          <w:szCs w:val="26"/>
        </w:rPr>
        <w:t>,</w:t>
      </w:r>
    </w:p>
    <w:p w:rsidR="00DC680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  </w:t>
      </w:r>
      <w:r w:rsidR="005E4EAE">
        <w:rPr>
          <w:rFonts w:ascii="Baskerville" w:eastAsia="Times" w:hAnsi="Baskerville" w:cs="Baskerville"/>
          <w:sz w:val="26"/>
          <w:szCs w:val="26"/>
        </w:rPr>
        <w:t xml:space="preserve">Chicago, </w:t>
      </w:r>
      <w:r w:rsidR="00E01FF8">
        <w:rPr>
          <w:rFonts w:ascii="Baskerville" w:eastAsia="Times" w:hAnsi="Baskerville" w:cs="Baskerville"/>
          <w:sz w:val="26"/>
          <w:szCs w:val="26"/>
        </w:rPr>
        <w:t>Illinois, June 20</w:t>
      </w:r>
      <w:r w:rsidR="00B13EA3">
        <w:rPr>
          <w:rFonts w:ascii="Baskerville" w:eastAsia="Times" w:hAnsi="Baskerville" w:cs="Baskerville"/>
          <w:sz w:val="26"/>
          <w:szCs w:val="26"/>
        </w:rPr>
        <w:t>, 2015.</w:t>
      </w:r>
      <w:r w:rsidR="00B13EA3">
        <w:rPr>
          <w:rFonts w:ascii="Baskerville" w:eastAsia="Times" w:hAnsi="Baskerville" w:cs="Baskerville"/>
          <w:sz w:val="26"/>
          <w:szCs w:val="26"/>
        </w:rPr>
        <w:tab/>
      </w:r>
    </w:p>
    <w:p w:rsidR="00E01FF8" w:rsidRDefault="00E01FF8" w:rsidP="00B13EA3">
      <w:pPr>
        <w:widowControl w:val="0"/>
        <w:spacing w:after="0" w:line="240" w:lineRule="auto"/>
        <w:ind w:left="285"/>
        <w:rPr>
          <w:rFonts w:ascii="Baskerville" w:eastAsia="Times" w:hAnsi="Baskerville" w:cs="Baskerville"/>
          <w:sz w:val="26"/>
          <w:szCs w:val="26"/>
        </w:rPr>
      </w:pPr>
    </w:p>
    <w:p w:rsidR="00751B6C" w:rsidRDefault="00E01FF8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“The Body of Liberties and Bodies in Bondage: </w:t>
      </w:r>
      <w:proofErr w:type="spellStart"/>
      <w:r w:rsidRPr="00C2136A">
        <w:rPr>
          <w:rFonts w:ascii="Baskerville" w:eastAsia="Times" w:hAnsi="Baskerville" w:cs="Baskerville"/>
          <w:sz w:val="25"/>
          <w:szCs w:val="25"/>
        </w:rPr>
        <w:t>Dorcas</w:t>
      </w:r>
      <w:proofErr w:type="spellEnd"/>
      <w:r w:rsidRPr="00C2136A">
        <w:rPr>
          <w:rFonts w:ascii="Baskerville" w:eastAsia="Times" w:hAnsi="Baskerville" w:cs="Baskerville"/>
          <w:sz w:val="25"/>
          <w:szCs w:val="25"/>
        </w:rPr>
        <w:t xml:space="preserve"> the Blackmore, Dorchester’s First Church, and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proofErr w:type="gramStart"/>
      <w:r w:rsidR="00E01FF8" w:rsidRPr="00C2136A">
        <w:rPr>
          <w:rFonts w:ascii="Baskerville" w:eastAsia="Times" w:hAnsi="Baskerville" w:cs="Baskerville"/>
          <w:sz w:val="25"/>
          <w:szCs w:val="25"/>
        </w:rPr>
        <w:t>the</w:t>
      </w:r>
      <w:proofErr w:type="gramEnd"/>
      <w:r w:rsidR="00E01FF8" w:rsidRPr="00C2136A">
        <w:rPr>
          <w:rFonts w:ascii="Baskerville" w:eastAsia="Times" w:hAnsi="Baskerville" w:cs="Baskerville"/>
          <w:sz w:val="25"/>
          <w:szCs w:val="25"/>
        </w:rPr>
        <w:t xml:space="preserve"> Legalization of Slavery in the Anglo-Atlantic World.” </w:t>
      </w:r>
      <w:r w:rsidR="00E01FF8">
        <w:rPr>
          <w:rFonts w:ascii="Baskerville" w:eastAsia="Times" w:hAnsi="Baskerville" w:cs="Baskerville"/>
          <w:sz w:val="25"/>
          <w:szCs w:val="25"/>
        </w:rPr>
        <w:t>D</w:t>
      </w:r>
      <w:r w:rsidR="00E01FF8" w:rsidRPr="00C2136A">
        <w:rPr>
          <w:rFonts w:ascii="Baskerville" w:eastAsia="Times" w:hAnsi="Baskerville" w:cs="Baskerville"/>
          <w:sz w:val="25"/>
          <w:szCs w:val="25"/>
        </w:rPr>
        <w:t>el</w:t>
      </w:r>
      <w:r>
        <w:rPr>
          <w:rFonts w:ascii="Baskerville" w:eastAsia="Times" w:hAnsi="Baskerville" w:cs="Baskerville"/>
          <w:sz w:val="25"/>
          <w:szCs w:val="25"/>
        </w:rPr>
        <w:t>ivered at the Boston Area Early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E01FF8" w:rsidRPr="00C2136A">
        <w:rPr>
          <w:rFonts w:ascii="Baskerville" w:eastAsia="Times" w:hAnsi="Baskerville" w:cs="Baskerville"/>
          <w:sz w:val="25"/>
          <w:szCs w:val="25"/>
        </w:rPr>
        <w:t xml:space="preserve">American History Seminar at the Massachusetts Historical Society, Boston, Massachusetts, </w:t>
      </w:r>
      <w:r w:rsidR="00E01FF8">
        <w:rPr>
          <w:rFonts w:ascii="Baskerville" w:eastAsia="Times" w:hAnsi="Baskerville" w:cs="Baskerville"/>
          <w:sz w:val="25"/>
          <w:szCs w:val="25"/>
        </w:rPr>
        <w:t>May 19</w:t>
      </w:r>
      <w:r>
        <w:rPr>
          <w:rFonts w:ascii="Baskerville" w:eastAsia="Times" w:hAnsi="Baskerville" w:cs="Baskerville"/>
          <w:sz w:val="25"/>
          <w:szCs w:val="25"/>
        </w:rPr>
        <w:t>,</w:t>
      </w:r>
    </w:p>
    <w:p w:rsidR="00E01FF8" w:rsidRPr="00E01FF8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E01FF8" w:rsidRPr="00C2136A">
        <w:rPr>
          <w:rFonts w:ascii="Baskerville" w:eastAsia="Times" w:hAnsi="Baskerville" w:cs="Baskerville"/>
          <w:sz w:val="25"/>
          <w:szCs w:val="25"/>
        </w:rPr>
        <w:t>2015.</w:t>
      </w:r>
    </w:p>
    <w:p w:rsidR="00DC680C" w:rsidRDefault="00DC680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751B6C" w:rsidRDefault="00A1663E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“‘the Negroes have left’: African Americans and the Politics of Emancipation in Revolutionary</w:t>
      </w:r>
    </w:p>
    <w:p w:rsidR="00751B6C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A1663E" w:rsidRPr="00C2136A">
        <w:rPr>
          <w:rFonts w:ascii="Baskerville" w:eastAsia="Times" w:hAnsi="Baskerville" w:cs="Baskerville"/>
          <w:sz w:val="25"/>
          <w:szCs w:val="25"/>
        </w:rPr>
        <w:t xml:space="preserve">Massachusetts.” </w:t>
      </w:r>
      <w:r w:rsidR="00E01FF8">
        <w:rPr>
          <w:rFonts w:ascii="Baskerville" w:eastAsia="Times" w:hAnsi="Baskerville" w:cs="Baskerville"/>
          <w:sz w:val="25"/>
          <w:szCs w:val="25"/>
        </w:rPr>
        <w:t>D</w:t>
      </w:r>
      <w:r w:rsidR="00A1663E" w:rsidRPr="00C2136A">
        <w:rPr>
          <w:rFonts w:ascii="Baskerville" w:eastAsia="Times" w:hAnsi="Baskerville" w:cs="Baskerville"/>
          <w:sz w:val="25"/>
          <w:szCs w:val="25"/>
        </w:rPr>
        <w:t xml:space="preserve">elivered at the Conference on the </w:t>
      </w:r>
      <w:r w:rsidR="00052F17" w:rsidRPr="00C2136A">
        <w:rPr>
          <w:rFonts w:ascii="Baskerville" w:eastAsia="Times" w:hAnsi="Baskerville" w:cs="Baskerville"/>
          <w:sz w:val="25"/>
          <w:szCs w:val="25"/>
        </w:rPr>
        <w:t>Causes, Course, and Consequences of the</w:t>
      </w:r>
    </w:p>
    <w:p w:rsidR="00751B6C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lastRenderedPageBreak/>
        <w:t xml:space="preserve">     </w:t>
      </w:r>
      <w:r w:rsidR="00A1663E" w:rsidRPr="00C2136A">
        <w:rPr>
          <w:rFonts w:ascii="Baskerville" w:eastAsia="Times" w:hAnsi="Baskerville" w:cs="Baskerville"/>
          <w:sz w:val="25"/>
          <w:szCs w:val="25"/>
        </w:rPr>
        <w:t>American Revolution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 xml:space="preserve"> sponsored by Boston University, Williams College, the 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>M</w:t>
      </w:r>
      <w:r>
        <w:rPr>
          <w:rFonts w:ascii="Baskerville" w:eastAsia="Times" w:hAnsi="Baskerville" w:cs="Baskerville"/>
          <w:sz w:val="25"/>
          <w:szCs w:val="25"/>
        </w:rPr>
        <w:t>assachusetts</w:t>
      </w:r>
    </w:p>
    <w:p w:rsidR="00751B6C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 xml:space="preserve">Historical </w:t>
      </w:r>
      <w:proofErr w:type="gramStart"/>
      <w:r w:rsidR="00B869B8" w:rsidRPr="00C2136A">
        <w:rPr>
          <w:rFonts w:ascii="Baskerville" w:eastAsia="Times" w:hAnsi="Baskerville" w:cs="Baskerville"/>
          <w:sz w:val="25"/>
          <w:szCs w:val="25"/>
        </w:rPr>
        <w:t>Society,</w:t>
      </w:r>
      <w:proofErr w:type="gramEnd"/>
      <w:r w:rsidR="00B869B8" w:rsidRPr="00C2136A">
        <w:rPr>
          <w:rFonts w:ascii="Baskerville" w:eastAsia="Times" w:hAnsi="Baskerville" w:cs="Baskerville"/>
          <w:sz w:val="25"/>
          <w:szCs w:val="25"/>
        </w:rPr>
        <w:t xml:space="preserve"> and the David Library of the American Revolution</w:t>
      </w:r>
      <w:r w:rsidR="00957DAB" w:rsidRPr="00C2136A">
        <w:rPr>
          <w:rFonts w:ascii="Baskerville" w:eastAsia="Times" w:hAnsi="Baskerville" w:cs="Baskerville"/>
          <w:sz w:val="25"/>
          <w:szCs w:val="25"/>
        </w:rPr>
        <w:t>,</w:t>
      </w:r>
      <w:r w:rsidR="00A1663E" w:rsidRPr="00C2136A">
        <w:rPr>
          <w:rFonts w:ascii="Baskerville" w:eastAsia="Times" w:hAnsi="Baskerville" w:cs="Baskerville"/>
          <w:sz w:val="25"/>
          <w:szCs w:val="25"/>
        </w:rPr>
        <w:t xml:space="preserve"> Boston, </w:t>
      </w:r>
      <w:r>
        <w:rPr>
          <w:rFonts w:ascii="Baskerville" w:eastAsia="Times" w:hAnsi="Baskerville" w:cs="Baskerville"/>
          <w:sz w:val="25"/>
          <w:szCs w:val="25"/>
        </w:rPr>
        <w:t>Massachusetts, April</w:t>
      </w:r>
    </w:p>
    <w:p w:rsidR="00E70F9B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proofErr w:type="gramStart"/>
      <w:r w:rsidR="00A1663E" w:rsidRPr="00C2136A">
        <w:rPr>
          <w:rFonts w:ascii="Baskerville" w:eastAsia="Times" w:hAnsi="Baskerville" w:cs="Baskerville"/>
          <w:sz w:val="25"/>
          <w:szCs w:val="25"/>
        </w:rPr>
        <w:t>9, 2015.</w:t>
      </w:r>
      <w:proofErr w:type="gramEnd"/>
    </w:p>
    <w:p w:rsidR="00E70F9B" w:rsidRDefault="00E70F9B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751B6C" w:rsidRDefault="00287BDF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>Power, Patriarchy, and Provision: African Men and Women Build Families in Early New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>England</w:t>
      </w:r>
      <w:r w:rsidRPr="00C2136A">
        <w:rPr>
          <w:rFonts w:ascii="Baskerville" w:eastAsia="Times" w:hAnsi="Baskerville" w:cs="Baskerville"/>
          <w:sz w:val="25"/>
          <w:szCs w:val="25"/>
        </w:rPr>
        <w:t>.”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>D</w:t>
      </w:r>
      <w:r w:rsidR="00287BDF" w:rsidRPr="00C2136A">
        <w:rPr>
          <w:rFonts w:ascii="Baskerville" w:eastAsia="Times" w:hAnsi="Baskerville" w:cs="Baskerville"/>
          <w:sz w:val="25"/>
          <w:szCs w:val="25"/>
        </w:rPr>
        <w:t>elivered at the American Studies Summer Institute of the University of Massachusetts</w:t>
      </w:r>
      <w:r w:rsidR="00B869B8" w:rsidRPr="00C2136A">
        <w:rPr>
          <w:rFonts w:ascii="Baskerville" w:eastAsia="Times" w:hAnsi="Baskerville" w:cs="Baskerville"/>
          <w:sz w:val="25"/>
          <w:szCs w:val="25"/>
        </w:rPr>
        <w:t>, B</w:t>
      </w:r>
      <w:r>
        <w:rPr>
          <w:rFonts w:ascii="Baskerville" w:eastAsia="Times" w:hAnsi="Baskerville" w:cs="Baskerville"/>
          <w:sz w:val="25"/>
          <w:szCs w:val="25"/>
        </w:rPr>
        <w:t>oston, July</w:t>
      </w:r>
    </w:p>
    <w:p w:rsidR="00287BDF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proofErr w:type="gramStart"/>
      <w:r w:rsidR="00287BDF" w:rsidRPr="00C2136A">
        <w:rPr>
          <w:rFonts w:ascii="Baskerville" w:eastAsia="Times" w:hAnsi="Baskerville" w:cs="Baskerville"/>
          <w:sz w:val="25"/>
          <w:szCs w:val="25"/>
        </w:rPr>
        <w:t>10, 2014.</w:t>
      </w:r>
      <w:proofErr w:type="gramEnd"/>
    </w:p>
    <w:p w:rsidR="00E70F9B" w:rsidRPr="00C2136A" w:rsidRDefault="00E70F9B" w:rsidP="00875519">
      <w:pPr>
        <w:widowControl w:val="0"/>
        <w:spacing w:after="0" w:line="240" w:lineRule="auto"/>
        <w:ind w:left="270"/>
        <w:rPr>
          <w:rFonts w:ascii="Baskerville" w:eastAsia="Times" w:hAnsi="Baskerville" w:cs="Baskerville"/>
          <w:sz w:val="25"/>
          <w:szCs w:val="25"/>
        </w:rPr>
      </w:pPr>
    </w:p>
    <w:p w:rsidR="00751B6C" w:rsidRDefault="00886D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“‘Claiming the Right of Being Born Free, Equal, and Independent’: New England Slaves and the Work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proofErr w:type="gramStart"/>
      <w:r w:rsidR="00886DAE" w:rsidRPr="00C2136A">
        <w:rPr>
          <w:rFonts w:ascii="Baskerville" w:eastAsia="Times" w:hAnsi="Baskerville" w:cs="Baskerville"/>
          <w:sz w:val="25"/>
          <w:szCs w:val="25"/>
        </w:rPr>
        <w:t>of</w:t>
      </w:r>
      <w:proofErr w:type="gramEnd"/>
      <w:r w:rsidR="00886DAE" w:rsidRPr="00C2136A">
        <w:rPr>
          <w:rFonts w:ascii="Baskerville" w:eastAsia="Times" w:hAnsi="Baskerville" w:cs="Baskerville"/>
          <w:sz w:val="25"/>
          <w:szCs w:val="25"/>
        </w:rPr>
        <w:t xml:space="preserve"> Freedom in the Revolutionary Era.</w:t>
      </w:r>
      <w:r w:rsidR="00204997" w:rsidRPr="00C2136A">
        <w:rPr>
          <w:rFonts w:ascii="Baskerville" w:eastAsia="Times" w:hAnsi="Baskerville" w:cs="Baskerville"/>
          <w:sz w:val="25"/>
          <w:szCs w:val="25"/>
        </w:rPr>
        <w:t>”</w:t>
      </w:r>
      <w:r w:rsidR="00886DAE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C15F76" w:rsidRPr="00C2136A">
        <w:rPr>
          <w:rFonts w:ascii="Baskerville" w:eastAsia="Times" w:hAnsi="Baskerville" w:cs="Baskerville"/>
          <w:sz w:val="25"/>
          <w:szCs w:val="25"/>
        </w:rPr>
        <w:t>D</w:t>
      </w:r>
      <w:r w:rsidR="00886DAE" w:rsidRPr="00C2136A">
        <w:rPr>
          <w:rFonts w:ascii="Baskerville" w:eastAsia="Times" w:hAnsi="Baskerville" w:cs="Baskerville"/>
          <w:sz w:val="25"/>
          <w:szCs w:val="25"/>
        </w:rPr>
        <w:t>elivered at the University of Michigan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5E4EAE">
        <w:rPr>
          <w:rFonts w:ascii="Baskerville" w:eastAsia="Times" w:hAnsi="Baskerville" w:cs="Baskerville"/>
          <w:sz w:val="25"/>
          <w:szCs w:val="25"/>
        </w:rPr>
        <w:t>Graduate Student</w:t>
      </w:r>
    </w:p>
    <w:p w:rsidR="00886DAE" w:rsidRPr="00C2136A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886DAE" w:rsidRPr="00C2136A">
        <w:rPr>
          <w:rFonts w:ascii="Baskerville" w:eastAsia="Times" w:hAnsi="Baskerville" w:cs="Baskerville"/>
          <w:sz w:val="25"/>
          <w:szCs w:val="25"/>
        </w:rPr>
        <w:t>Conference</w:t>
      </w:r>
      <w:r w:rsidR="00FF5175" w:rsidRPr="00C2136A">
        <w:rPr>
          <w:rFonts w:ascii="Baskerville" w:eastAsia="Times" w:hAnsi="Baskerville" w:cs="Baskerville"/>
          <w:sz w:val="25"/>
          <w:szCs w:val="25"/>
        </w:rPr>
        <w:t xml:space="preserve"> on the History of Labor</w:t>
      </w:r>
      <w:r w:rsidR="00886DAE" w:rsidRPr="00C2136A">
        <w:rPr>
          <w:rFonts w:ascii="Baskerville" w:eastAsia="Times" w:hAnsi="Baskerville" w:cs="Baskerville"/>
          <w:sz w:val="25"/>
          <w:szCs w:val="25"/>
        </w:rPr>
        <w:t>, Ann Arbor, Michigan, May 10, 2014.</w:t>
      </w:r>
    </w:p>
    <w:p w:rsidR="00886DAE" w:rsidRPr="00C2136A" w:rsidRDefault="00886DAE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751B6C" w:rsidRDefault="003E2C0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“‘How can the wife submit</w:t>
      </w:r>
      <w:r w:rsidR="006F110F" w:rsidRPr="00C2136A">
        <w:rPr>
          <w:rFonts w:ascii="Baskerville" w:eastAsia="Times" w:hAnsi="Baskerville" w:cs="Baskerville"/>
          <w:sz w:val="25"/>
          <w:szCs w:val="25"/>
        </w:rPr>
        <w:t>?</w:t>
      </w:r>
      <w:r w:rsidRPr="00C2136A">
        <w:rPr>
          <w:rFonts w:ascii="Baskerville" w:eastAsia="Times" w:hAnsi="Baskerville" w:cs="Baskerville"/>
          <w:sz w:val="25"/>
          <w:szCs w:val="25"/>
        </w:rPr>
        <w:t>’ African Families Negotiate Gender and Slavery in New England.”</w:t>
      </w:r>
    </w:p>
    <w:p w:rsidR="00751B6C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C15F76" w:rsidRPr="00C2136A">
        <w:rPr>
          <w:rFonts w:ascii="Baskerville" w:eastAsia="Times" w:hAnsi="Baskerville" w:cs="Baskerville"/>
          <w:sz w:val="25"/>
          <w:szCs w:val="25"/>
        </w:rPr>
        <w:t>D</w:t>
      </w:r>
      <w:r w:rsidR="003E2C00" w:rsidRPr="00C2136A">
        <w:rPr>
          <w:rFonts w:ascii="Baskerville" w:eastAsia="Times" w:hAnsi="Baskerville" w:cs="Baskerville"/>
          <w:sz w:val="25"/>
          <w:szCs w:val="25"/>
        </w:rPr>
        <w:t>elivered at the Boston Seminar on the History of Women and Gender</w:t>
      </w:r>
      <w:r w:rsidR="00572592" w:rsidRPr="00C2136A">
        <w:rPr>
          <w:rFonts w:ascii="Baskerville" w:eastAsia="Times" w:hAnsi="Baskerville" w:cs="Baskerville"/>
          <w:sz w:val="25"/>
          <w:szCs w:val="25"/>
        </w:rPr>
        <w:t xml:space="preserve"> at</w:t>
      </w:r>
      <w:r w:rsidR="003E2C00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572592" w:rsidRPr="00C2136A">
        <w:rPr>
          <w:rFonts w:ascii="Baskerville" w:eastAsia="Times" w:hAnsi="Baskerville" w:cs="Baskerville"/>
          <w:sz w:val="25"/>
          <w:szCs w:val="25"/>
        </w:rPr>
        <w:t>the Arthur and Elizabeth</w:t>
      </w:r>
    </w:p>
    <w:p w:rsidR="003E2C00" w:rsidRPr="00C2136A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572592" w:rsidRPr="00C2136A">
        <w:rPr>
          <w:rFonts w:ascii="Baskerville" w:eastAsia="Times" w:hAnsi="Baskerville" w:cs="Baskerville"/>
          <w:sz w:val="25"/>
          <w:szCs w:val="25"/>
        </w:rPr>
        <w:t xml:space="preserve">Schlesinger Library, </w:t>
      </w:r>
      <w:r w:rsidR="003E2C00" w:rsidRPr="00C2136A">
        <w:rPr>
          <w:rFonts w:ascii="Baskerville" w:eastAsia="Times" w:hAnsi="Baskerville" w:cs="Baskerville"/>
          <w:sz w:val="25"/>
          <w:szCs w:val="25"/>
        </w:rPr>
        <w:t xml:space="preserve">Cambridge, Massachusetts, </w:t>
      </w:r>
      <w:r w:rsidR="00204997" w:rsidRPr="00C2136A">
        <w:rPr>
          <w:rFonts w:ascii="Baskerville" w:eastAsia="Times" w:hAnsi="Baskerville" w:cs="Baskerville"/>
          <w:sz w:val="25"/>
          <w:szCs w:val="25"/>
        </w:rPr>
        <w:t>April 15</w:t>
      </w:r>
      <w:r w:rsidR="00572592" w:rsidRPr="00C2136A">
        <w:rPr>
          <w:rFonts w:ascii="Baskerville" w:eastAsia="Times" w:hAnsi="Baskerville" w:cs="Baskerville"/>
          <w:sz w:val="25"/>
          <w:szCs w:val="25"/>
        </w:rPr>
        <w:t>, 2014.</w:t>
      </w:r>
    </w:p>
    <w:p w:rsidR="003E2C00" w:rsidRPr="00C2136A" w:rsidRDefault="003E2C0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751B6C" w:rsidRDefault="00FE136F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“‘She lives with her Husband somewhere in Town’: Slavery, Freedom, and Family in Eighteenth</w:t>
      </w:r>
    </w:p>
    <w:p w:rsidR="00751B6C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proofErr w:type="gramStart"/>
      <w:r w:rsidR="00FE136F" w:rsidRPr="00C2136A">
        <w:rPr>
          <w:rFonts w:ascii="Baskerville" w:eastAsia="Times" w:hAnsi="Baskerville" w:cs="Baskerville"/>
          <w:sz w:val="25"/>
          <w:szCs w:val="25"/>
        </w:rPr>
        <w:t>Century New England.”</w:t>
      </w:r>
      <w:proofErr w:type="gramEnd"/>
      <w:r w:rsidR="00FE136F" w:rsidRPr="00C2136A">
        <w:rPr>
          <w:rFonts w:ascii="Baskerville" w:eastAsia="Times" w:hAnsi="Baskerville" w:cs="Baskerville"/>
          <w:sz w:val="25"/>
          <w:szCs w:val="25"/>
        </w:rPr>
        <w:t xml:space="preserve"> Delivered at the Rhode Island Historical Society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>,</w:t>
      </w:r>
      <w:r w:rsidR="00FE136F" w:rsidRPr="00C2136A">
        <w:rPr>
          <w:rFonts w:ascii="Baskerville" w:eastAsia="Times" w:hAnsi="Baskerville" w:cs="Baskerville"/>
          <w:sz w:val="25"/>
          <w:szCs w:val="25"/>
        </w:rPr>
        <w:t xml:space="preserve"> Providence, Rhode Island,</w:t>
      </w:r>
    </w:p>
    <w:p w:rsidR="00FE136F" w:rsidRPr="00C2136A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FE136F" w:rsidRPr="00C2136A">
        <w:rPr>
          <w:rFonts w:ascii="Baskerville" w:eastAsia="Times" w:hAnsi="Baskerville" w:cs="Baskerville"/>
          <w:sz w:val="25"/>
          <w:szCs w:val="25"/>
        </w:rPr>
        <w:t xml:space="preserve">March 27, 2013. </w:t>
      </w:r>
    </w:p>
    <w:p w:rsidR="00FE136F" w:rsidRPr="00C2136A" w:rsidRDefault="00FE136F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751B6C" w:rsidRDefault="005E4EAE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“‘That You May Become Good Christians’: Religion a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nd Slave Family Life in Early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Massachusetts.”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9468B5" w:rsidRPr="00C2136A">
        <w:rPr>
          <w:rFonts w:ascii="Baskerville" w:eastAsia="Times" w:hAnsi="Baskerville" w:cs="Baskerville"/>
          <w:sz w:val="25"/>
          <w:szCs w:val="25"/>
        </w:rPr>
        <w:t>D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elivered at the Boston College Biennial Co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nference on the History of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Religion, Chestnut Hill,</w:t>
      </w:r>
    </w:p>
    <w:p w:rsidR="00DB2A21" w:rsidRPr="00C2136A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C2136A">
        <w:rPr>
          <w:rFonts w:ascii="Baskerville" w:eastAsia="Times" w:hAnsi="Baskerville" w:cs="Baskerville"/>
          <w:sz w:val="25"/>
          <w:szCs w:val="25"/>
        </w:rPr>
        <w:t>M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assachusetts, March 30, 2012.</w:t>
      </w:r>
    </w:p>
    <w:p w:rsidR="00DB2A21" w:rsidRPr="00C2136A" w:rsidRDefault="00DB2A2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751B6C" w:rsidRDefault="00DB2A2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proofErr w:type="gramStart"/>
      <w:r w:rsidRPr="00C2136A">
        <w:rPr>
          <w:rFonts w:ascii="Baskerville" w:eastAsia="Times" w:hAnsi="Baskerville" w:cs="Baskerville"/>
          <w:sz w:val="25"/>
          <w:szCs w:val="25"/>
        </w:rPr>
        <w:t>“Challenges in Studying Early Black Family Life.”</w:t>
      </w:r>
      <w:proofErr w:type="gramEnd"/>
      <w:r w:rsidRPr="00C2136A">
        <w:rPr>
          <w:rFonts w:ascii="Baskerville" w:eastAsia="Times" w:hAnsi="Baskerville" w:cs="Baskerville"/>
          <w:sz w:val="25"/>
          <w:szCs w:val="25"/>
        </w:rPr>
        <w:t xml:space="preserve"> Delivered at the Graduate Student Forum in Early</w:t>
      </w:r>
    </w:p>
    <w:p w:rsidR="00DB2A21" w:rsidRPr="00C2136A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American History at the Colonial Society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 of Massachusetts in Boston,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 xml:space="preserve"> June 17, 2011. </w:t>
      </w:r>
    </w:p>
    <w:p w:rsidR="00DB2A21" w:rsidRPr="00C2136A" w:rsidRDefault="00DB2A2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</w:t>
      </w:r>
    </w:p>
    <w:p w:rsidR="00751B6C" w:rsidRDefault="00DB2A2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proofErr w:type="gramStart"/>
      <w:r w:rsidRPr="00C2136A">
        <w:rPr>
          <w:rFonts w:ascii="Baskerville" w:eastAsia="Times" w:hAnsi="Baskerville" w:cs="Baskerville"/>
          <w:sz w:val="25"/>
          <w:szCs w:val="25"/>
        </w:rPr>
        <w:t>“Slavery, Craft, and Identity in Eighteenth-Century Boston.”</w:t>
      </w:r>
      <w:proofErr w:type="gramEnd"/>
      <w:r w:rsidRPr="00C2136A">
        <w:rPr>
          <w:rFonts w:ascii="Baskerville" w:eastAsia="Times" w:hAnsi="Baskerville" w:cs="Baskerville"/>
          <w:sz w:val="25"/>
          <w:szCs w:val="25"/>
        </w:rPr>
        <w:t xml:space="preserve"> Delivered at the </w:t>
      </w:r>
      <w:r w:rsidR="00572592" w:rsidRPr="00C2136A">
        <w:rPr>
          <w:rFonts w:ascii="Baskerville" w:eastAsia="Times" w:hAnsi="Baskerville" w:cs="Baskerville"/>
          <w:sz w:val="25"/>
          <w:szCs w:val="25"/>
        </w:rPr>
        <w:t xml:space="preserve">annual symposium of </w:t>
      </w:r>
      <w:r w:rsidRPr="00C2136A">
        <w:rPr>
          <w:rFonts w:ascii="Baskerville" w:eastAsia="Times" w:hAnsi="Baskerville" w:cs="Baskerville"/>
          <w:sz w:val="25"/>
          <w:szCs w:val="25"/>
        </w:rPr>
        <w:t>the</w:t>
      </w:r>
    </w:p>
    <w:p w:rsidR="00DB2A21" w:rsidRPr="00C2136A" w:rsidRDefault="00751B6C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 xml:space="preserve">Material Culture Institute at the University of Alberta, Edmonton, Alberta, </w:t>
      </w:r>
      <w:r w:rsidR="00645DBE" w:rsidRPr="00C2136A">
        <w:rPr>
          <w:rFonts w:ascii="Baskerville" w:eastAsia="Times" w:hAnsi="Baskerville" w:cs="Baskerville"/>
          <w:sz w:val="25"/>
          <w:szCs w:val="25"/>
        </w:rPr>
        <w:t xml:space="preserve">Canada, </w:t>
      </w:r>
      <w:r w:rsidR="00DB2A21" w:rsidRPr="00C2136A">
        <w:rPr>
          <w:rFonts w:ascii="Baskerville" w:eastAsia="Times" w:hAnsi="Baskerville" w:cs="Baskerville"/>
          <w:sz w:val="25"/>
          <w:szCs w:val="25"/>
        </w:rPr>
        <w:t>May 21, 2011.</w:t>
      </w:r>
    </w:p>
    <w:p w:rsidR="00DB2A21" w:rsidRPr="00C2136A" w:rsidRDefault="00DB2A21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</w:t>
      </w:r>
    </w:p>
    <w:p w:rsidR="00751B6C" w:rsidRDefault="00E92EF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“Agents of the State: Black Women and Interracial Welfare Work in the District of Columbia, 1863</w:t>
      </w:r>
    </w:p>
    <w:p w:rsidR="00751B6C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E92EFC" w:rsidRPr="00C2136A">
        <w:rPr>
          <w:rFonts w:ascii="Baskerville" w:eastAsia="Times" w:hAnsi="Baskerville" w:cs="Baskerville"/>
          <w:sz w:val="25"/>
          <w:szCs w:val="25"/>
        </w:rPr>
        <w:t>1915.” Delivered at the triennial conference of the Sout</w:t>
      </w:r>
      <w:r w:rsidR="00FC29B0" w:rsidRPr="00C2136A">
        <w:rPr>
          <w:rFonts w:ascii="Baskerville" w:eastAsia="Times" w:hAnsi="Baskerville" w:cs="Baskerville"/>
          <w:sz w:val="25"/>
          <w:szCs w:val="25"/>
        </w:rPr>
        <w:t>hern Association for Women</w:t>
      </w:r>
      <w:r>
        <w:rPr>
          <w:rFonts w:ascii="Baskerville" w:eastAsia="Times" w:hAnsi="Baskerville" w:cs="Baskerville"/>
          <w:sz w:val="25"/>
          <w:szCs w:val="25"/>
        </w:rPr>
        <w:t xml:space="preserve"> Historians,</w:t>
      </w:r>
    </w:p>
    <w:p w:rsidR="00E92EFC" w:rsidRPr="00C2136A" w:rsidRDefault="00751B6C" w:rsidP="005E4EAE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     </w:t>
      </w:r>
      <w:r w:rsidR="00E92EFC" w:rsidRPr="00C2136A">
        <w:rPr>
          <w:rFonts w:ascii="Baskerville" w:eastAsia="Times" w:hAnsi="Baskerville" w:cs="Baskerville"/>
          <w:sz w:val="25"/>
          <w:szCs w:val="25"/>
        </w:rPr>
        <w:t>Columbia, S</w:t>
      </w:r>
      <w:r w:rsidR="00BA33AA" w:rsidRPr="00C2136A">
        <w:rPr>
          <w:rFonts w:ascii="Baskerville" w:eastAsia="Times" w:hAnsi="Baskerville" w:cs="Baskerville"/>
          <w:sz w:val="25"/>
          <w:szCs w:val="25"/>
        </w:rPr>
        <w:t xml:space="preserve">outh </w:t>
      </w:r>
      <w:r w:rsidR="00E92EFC" w:rsidRPr="00C2136A">
        <w:rPr>
          <w:rFonts w:ascii="Baskerville" w:eastAsia="Times" w:hAnsi="Baskerville" w:cs="Baskerville"/>
          <w:sz w:val="25"/>
          <w:szCs w:val="25"/>
        </w:rPr>
        <w:t>C</w:t>
      </w:r>
      <w:r w:rsidR="00BA33AA" w:rsidRPr="00C2136A">
        <w:rPr>
          <w:rFonts w:ascii="Baskerville" w:eastAsia="Times" w:hAnsi="Baskerville" w:cs="Baskerville"/>
          <w:sz w:val="25"/>
          <w:szCs w:val="25"/>
        </w:rPr>
        <w:t>arolina</w:t>
      </w:r>
      <w:r w:rsidR="00E92EFC" w:rsidRPr="00C2136A">
        <w:rPr>
          <w:rFonts w:ascii="Baskerville" w:eastAsia="Times" w:hAnsi="Baskerville" w:cs="Baskerville"/>
          <w:sz w:val="25"/>
          <w:szCs w:val="25"/>
        </w:rPr>
        <w:t>, June 6, 2009.</w:t>
      </w:r>
    </w:p>
    <w:p w:rsidR="00BA33AA" w:rsidRPr="00175152" w:rsidRDefault="00BA33A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BD2C13" w:rsidRPr="007C56A1" w:rsidRDefault="00BD2C13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>
        <w:rPr>
          <w:rFonts w:ascii="Baskerville" w:eastAsia="Times" w:hAnsi="Baskerville" w:cs="Baskerville"/>
          <w:b/>
          <w:sz w:val="30"/>
          <w:szCs w:val="30"/>
        </w:rPr>
        <w:t>ADVISING</w:t>
      </w:r>
    </w:p>
    <w:p w:rsidR="00BD2C13" w:rsidRPr="00175152" w:rsidRDefault="00BD2C1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BD2C13" w:rsidRPr="00C2136A" w:rsidRDefault="00BD2C1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i/>
          <w:sz w:val="25"/>
          <w:szCs w:val="25"/>
        </w:rPr>
        <w:t>Non-Resident Tutor in Eliot House</w:t>
      </w:r>
      <w:r w:rsidRPr="00C2136A">
        <w:rPr>
          <w:rFonts w:ascii="Baskerville" w:eastAsia="Times" w:hAnsi="Baskerville" w:cs="Baskerville"/>
          <w:sz w:val="25"/>
          <w:szCs w:val="25"/>
        </w:rPr>
        <w:t>, 2010–2014</w:t>
      </w:r>
    </w:p>
    <w:p w:rsidR="00BD2C13" w:rsidRPr="00C2136A" w:rsidRDefault="00BD2C13" w:rsidP="00C2136A">
      <w:pPr>
        <w:widowControl w:val="0"/>
        <w:spacing w:after="0" w:line="240" w:lineRule="auto"/>
        <w:ind w:left="285"/>
        <w:rPr>
          <w:rFonts w:ascii="Baskerville" w:eastAsia="Times" w:hAnsi="Baskerville" w:cs="Baskerville"/>
          <w:sz w:val="25"/>
          <w:szCs w:val="25"/>
        </w:rPr>
      </w:pPr>
      <w:proofErr w:type="gramStart"/>
      <w:r w:rsidRPr="00C2136A">
        <w:rPr>
          <w:rFonts w:ascii="Baskerville" w:eastAsia="Times" w:hAnsi="Baskerville" w:cs="Baskerville"/>
          <w:sz w:val="25"/>
          <w:szCs w:val="25"/>
        </w:rPr>
        <w:t xml:space="preserve">Served as primary academic advisor for History concentrators living in Eliot House, </w:t>
      </w:r>
      <w:r w:rsidR="004B1FAC" w:rsidRPr="00C2136A">
        <w:rPr>
          <w:rFonts w:ascii="Baskerville" w:eastAsia="Times" w:hAnsi="Baskerville" w:cs="Baskerville"/>
          <w:sz w:val="25"/>
          <w:szCs w:val="25"/>
        </w:rPr>
        <w:t>one of Harvard’s twelve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 undergraduate residence hall</w:t>
      </w:r>
      <w:r w:rsidR="004B1FAC" w:rsidRPr="00C2136A">
        <w:rPr>
          <w:rFonts w:ascii="Baskerville" w:eastAsia="Times" w:hAnsi="Baskerville" w:cs="Baskerville"/>
          <w:sz w:val="25"/>
          <w:szCs w:val="25"/>
        </w:rPr>
        <w:t>s</w:t>
      </w:r>
      <w:r w:rsidRPr="00C2136A">
        <w:rPr>
          <w:rFonts w:ascii="Baskerville" w:eastAsia="Times" w:hAnsi="Baskerville" w:cs="Baskerville"/>
          <w:sz w:val="25"/>
          <w:szCs w:val="25"/>
        </w:rPr>
        <w:t>.</w:t>
      </w:r>
      <w:proofErr w:type="gramEnd"/>
      <w:r w:rsidRPr="00C2136A">
        <w:rPr>
          <w:rFonts w:ascii="Baskerville" w:eastAsia="Times" w:hAnsi="Baskerville" w:cs="Baskerville"/>
          <w:sz w:val="25"/>
          <w:szCs w:val="25"/>
        </w:rPr>
        <w:t xml:space="preserve"> Approved plans of study and advised students on course offerings and concentration options. </w:t>
      </w:r>
      <w:proofErr w:type="gramStart"/>
      <w:r w:rsidRPr="00C2136A">
        <w:rPr>
          <w:rFonts w:ascii="Baskerville" w:eastAsia="Times" w:hAnsi="Baskerville" w:cs="Baskerville"/>
          <w:sz w:val="25"/>
          <w:szCs w:val="25"/>
        </w:rPr>
        <w:t>Mentored students considering graduate school.</w:t>
      </w:r>
      <w:proofErr w:type="gramEnd"/>
      <w:r w:rsidR="004B1FAC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</w:p>
    <w:p w:rsidR="00BD2C13" w:rsidRPr="00C2136A" w:rsidRDefault="00BD2C1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     </w:t>
      </w:r>
    </w:p>
    <w:p w:rsidR="00BD2C13" w:rsidRPr="00C2136A" w:rsidRDefault="00BD2C1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i/>
          <w:sz w:val="25"/>
          <w:szCs w:val="25"/>
        </w:rPr>
        <w:t>Honors Thesis Advisor</w:t>
      </w:r>
      <w:r w:rsidR="004B1FAC" w:rsidRPr="00C2136A">
        <w:rPr>
          <w:rFonts w:ascii="Baskerville" w:eastAsia="Times" w:hAnsi="Baskerville" w:cs="Baskerville"/>
          <w:i/>
          <w:sz w:val="25"/>
          <w:szCs w:val="25"/>
        </w:rPr>
        <w:t xml:space="preserve"> &amp; Reader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>, 2010</w:t>
      </w:r>
      <w:r w:rsidRPr="00C2136A">
        <w:rPr>
          <w:rFonts w:ascii="Baskerville" w:eastAsia="Times" w:hAnsi="Baskerville" w:cs="Baskerville"/>
          <w:sz w:val="25"/>
          <w:szCs w:val="25"/>
        </w:rPr>
        <w:t>–2012</w:t>
      </w:r>
    </w:p>
    <w:p w:rsidR="00BD2C13" w:rsidRPr="00C2136A" w:rsidRDefault="004B1FAC" w:rsidP="00C2136A">
      <w:pPr>
        <w:widowControl w:val="0"/>
        <w:spacing w:after="0" w:line="240" w:lineRule="auto"/>
        <w:ind w:left="285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Advised</w:t>
      </w:r>
      <w:r w:rsidR="00BD2C13" w:rsidRPr="00C2136A">
        <w:rPr>
          <w:rFonts w:ascii="Baskerville" w:eastAsia="Times" w:hAnsi="Baskerville" w:cs="Baskerville"/>
          <w:sz w:val="25"/>
          <w:szCs w:val="25"/>
        </w:rPr>
        <w:t xml:space="preserve"> senior history major through the process of researching and writing an honors thesis</w:t>
      </w:r>
      <w:r w:rsidR="00E4282C">
        <w:rPr>
          <w:rFonts w:ascii="Baskerville" w:eastAsia="Times" w:hAnsi="Baskerville" w:cs="Baskerville"/>
          <w:sz w:val="25"/>
          <w:szCs w:val="25"/>
        </w:rPr>
        <w:t>,</w:t>
      </w:r>
      <w:r w:rsidR="00BD2C13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  <w:r w:rsidR="005E4EAE">
        <w:rPr>
          <w:rFonts w:ascii="Baskerville" w:eastAsia="Times" w:hAnsi="Baskerville" w:cs="Baskerville"/>
          <w:sz w:val="25"/>
          <w:szCs w:val="25"/>
        </w:rPr>
        <w:t>and served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 xml:space="preserve"> as </w:t>
      </w:r>
      <w:r w:rsidRPr="00C2136A">
        <w:rPr>
          <w:rFonts w:ascii="Baskerville" w:eastAsia="Times" w:hAnsi="Baskerville" w:cs="Baskerville"/>
          <w:sz w:val="25"/>
          <w:szCs w:val="25"/>
        </w:rPr>
        <w:t>a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 xml:space="preserve"> reader for thesis writers working on topics as varied as 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Allied financing during World </w:t>
      </w:r>
      <w:r w:rsidRPr="00C2136A">
        <w:rPr>
          <w:rFonts w:ascii="Baskerville" w:eastAsia="Times" w:hAnsi="Baskerville" w:cs="Baskerville"/>
          <w:sz w:val="25"/>
          <w:szCs w:val="25"/>
        </w:rPr>
        <w:lastRenderedPageBreak/>
        <w:t xml:space="preserve">War I and 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 xml:space="preserve">the history of insanity defense in American </w:t>
      </w:r>
      <w:r w:rsidR="00EB11A2" w:rsidRPr="00C2136A">
        <w:rPr>
          <w:rFonts w:ascii="Baskerville" w:eastAsia="Times" w:hAnsi="Baskerville" w:cs="Baskerville"/>
          <w:sz w:val="25"/>
          <w:szCs w:val="25"/>
        </w:rPr>
        <w:t>law and politics</w:t>
      </w:r>
      <w:r w:rsidRPr="00C2136A">
        <w:rPr>
          <w:rFonts w:ascii="Baskerville" w:eastAsia="Times" w:hAnsi="Baskerville" w:cs="Baskerville"/>
          <w:sz w:val="25"/>
          <w:szCs w:val="25"/>
        </w:rPr>
        <w:t>.</w:t>
      </w:r>
      <w:r w:rsidR="004F08D7" w:rsidRPr="00C2136A">
        <w:rPr>
          <w:rFonts w:ascii="Baskerville" w:eastAsia="Times" w:hAnsi="Baskerville" w:cs="Baskerville"/>
          <w:sz w:val="25"/>
          <w:szCs w:val="25"/>
        </w:rPr>
        <w:t xml:space="preserve"> </w:t>
      </w:r>
    </w:p>
    <w:p w:rsidR="00C2136A" w:rsidRDefault="00C2136A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</w:p>
    <w:p w:rsidR="00052537" w:rsidRDefault="00052537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ADMINISTRATION</w:t>
      </w:r>
    </w:p>
    <w:p w:rsidR="00374808" w:rsidRDefault="00341CE5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  <w:r>
        <w:rPr>
          <w:rFonts w:ascii="Baskerville" w:eastAsia="Times" w:hAnsi="Baskerville" w:cs="Baskerville"/>
          <w:sz w:val="26"/>
          <w:szCs w:val="26"/>
        </w:rPr>
        <w:t xml:space="preserve">   </w:t>
      </w:r>
    </w:p>
    <w:p w:rsidR="00153CB4" w:rsidRPr="00C2136A" w:rsidRDefault="00052537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i/>
          <w:sz w:val="25"/>
          <w:szCs w:val="25"/>
        </w:rPr>
        <w:t>Coordinator</w:t>
      </w:r>
      <w:r w:rsidR="008A0778" w:rsidRPr="00C2136A">
        <w:rPr>
          <w:rFonts w:ascii="Baskerville" w:eastAsia="Times" w:hAnsi="Baskerville" w:cs="Baskerville"/>
          <w:i/>
          <w:sz w:val="25"/>
          <w:szCs w:val="25"/>
        </w:rPr>
        <w:t xml:space="preserve">, </w:t>
      </w:r>
      <w:r w:rsidR="00341CE5" w:rsidRPr="00C2136A">
        <w:rPr>
          <w:rFonts w:ascii="Baskerville" w:eastAsia="Times" w:hAnsi="Baskerville" w:cs="Baskerville"/>
          <w:i/>
          <w:sz w:val="25"/>
          <w:szCs w:val="25"/>
        </w:rPr>
        <w:t>Harvard University</w:t>
      </w:r>
      <w:r w:rsidR="00153CB4" w:rsidRPr="00C2136A">
        <w:rPr>
          <w:rFonts w:ascii="Baskerville" w:eastAsia="Times" w:hAnsi="Baskerville" w:cs="Baskerville"/>
          <w:i/>
          <w:sz w:val="25"/>
          <w:szCs w:val="25"/>
        </w:rPr>
        <w:t xml:space="preserve"> Early Ameri</w:t>
      </w:r>
      <w:r w:rsidR="007B23FF" w:rsidRPr="00C2136A">
        <w:rPr>
          <w:rFonts w:ascii="Baskerville" w:eastAsia="Times" w:hAnsi="Baskerville" w:cs="Baskerville"/>
          <w:i/>
          <w:sz w:val="25"/>
          <w:szCs w:val="25"/>
        </w:rPr>
        <w:t>can History Working Group</w:t>
      </w:r>
      <w:r w:rsidR="007B23FF" w:rsidRPr="00C2136A">
        <w:rPr>
          <w:rFonts w:ascii="Baskerville" w:eastAsia="Times" w:hAnsi="Baskerville" w:cs="Baskerville"/>
          <w:sz w:val="25"/>
          <w:szCs w:val="25"/>
        </w:rPr>
        <w:t>, 2010–</w:t>
      </w:r>
      <w:r w:rsidR="00FE136F" w:rsidRPr="00C2136A">
        <w:rPr>
          <w:rFonts w:ascii="Baskerville" w:eastAsia="Times" w:hAnsi="Baskerville" w:cs="Baskerville"/>
          <w:sz w:val="25"/>
          <w:szCs w:val="25"/>
        </w:rPr>
        <w:t>2012</w:t>
      </w:r>
    </w:p>
    <w:p w:rsidR="00176081" w:rsidRPr="00C2136A" w:rsidRDefault="00607CE5" w:rsidP="00C2136A">
      <w:pPr>
        <w:widowControl w:val="0"/>
        <w:spacing w:after="0" w:line="240" w:lineRule="auto"/>
        <w:ind w:left="285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Applied for and acquired </w:t>
      </w:r>
      <w:r w:rsidR="003A2B9B" w:rsidRPr="00C2136A">
        <w:rPr>
          <w:rFonts w:ascii="Baskerville" w:eastAsia="Times" w:hAnsi="Baskerville" w:cs="Baskerville"/>
          <w:sz w:val="25"/>
          <w:szCs w:val="25"/>
        </w:rPr>
        <w:t xml:space="preserve">requisite </w:t>
      </w:r>
      <w:r w:rsidR="00E4282C">
        <w:rPr>
          <w:rFonts w:ascii="Baskerville" w:eastAsia="Times" w:hAnsi="Baskerville" w:cs="Baskerville"/>
          <w:sz w:val="25"/>
          <w:szCs w:val="25"/>
        </w:rPr>
        <w:t>funding. M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>ad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>e and publicize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>d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 xml:space="preserve"> schedules of 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faculty and </w:t>
      </w:r>
      <w:r w:rsidR="00433895" w:rsidRPr="00C2136A">
        <w:rPr>
          <w:rFonts w:ascii="Baskerville" w:eastAsia="Times" w:hAnsi="Baskerville" w:cs="Baskerville"/>
          <w:sz w:val="25"/>
          <w:szCs w:val="25"/>
        </w:rPr>
        <w:t xml:space="preserve">graduate 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>st</w:t>
      </w:r>
      <w:r w:rsidR="00E4282C">
        <w:rPr>
          <w:rFonts w:ascii="Baskerville" w:eastAsia="Times" w:hAnsi="Baskerville" w:cs="Baskerville"/>
          <w:sz w:val="25"/>
          <w:szCs w:val="25"/>
        </w:rPr>
        <w:t xml:space="preserve">udent presentations. </w:t>
      </w:r>
      <w:proofErr w:type="gramStart"/>
      <w:r w:rsidR="00E4282C">
        <w:rPr>
          <w:rFonts w:ascii="Baskerville" w:eastAsia="Times" w:hAnsi="Baskerville" w:cs="Baskerville"/>
          <w:sz w:val="25"/>
          <w:szCs w:val="25"/>
        </w:rPr>
        <w:t>A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>rrange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>d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 xml:space="preserve"> for outside scholars to </w:t>
      </w:r>
      <w:r w:rsidR="00E4282C">
        <w:rPr>
          <w:rFonts w:ascii="Baskerville" w:eastAsia="Times" w:hAnsi="Baskerville" w:cs="Baskerville"/>
          <w:sz w:val="25"/>
          <w:szCs w:val="25"/>
        </w:rPr>
        <w:t>share their works in progress.</w:t>
      </w:r>
      <w:proofErr w:type="gramEnd"/>
      <w:r w:rsidR="00E4282C">
        <w:rPr>
          <w:rFonts w:ascii="Baskerville" w:eastAsia="Times" w:hAnsi="Baskerville" w:cs="Baskerville"/>
          <w:sz w:val="25"/>
          <w:szCs w:val="25"/>
        </w:rPr>
        <w:t xml:space="preserve"> </w:t>
      </w:r>
      <w:proofErr w:type="gramStart"/>
      <w:r w:rsidR="00E4282C">
        <w:rPr>
          <w:rFonts w:ascii="Baskerville" w:eastAsia="Times" w:hAnsi="Baskerville" w:cs="Baskerville"/>
          <w:sz w:val="25"/>
          <w:szCs w:val="25"/>
        </w:rPr>
        <w:t>C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>oordinate</w:t>
      </w:r>
      <w:r w:rsidR="009345F6" w:rsidRPr="00C2136A">
        <w:rPr>
          <w:rFonts w:ascii="Baskerville" w:eastAsia="Times" w:hAnsi="Baskerville" w:cs="Baskerville"/>
          <w:sz w:val="25"/>
          <w:szCs w:val="25"/>
        </w:rPr>
        <w:t>d</w:t>
      </w:r>
      <w:r w:rsidR="00153CB4" w:rsidRPr="00C2136A">
        <w:rPr>
          <w:rFonts w:ascii="Baskerville" w:eastAsia="Times" w:hAnsi="Baskerville" w:cs="Baskerville"/>
          <w:sz w:val="25"/>
          <w:szCs w:val="25"/>
        </w:rPr>
        <w:t xml:space="preserve"> faculty discussions on scholarly issues of interest to graduate students.</w:t>
      </w:r>
      <w:proofErr w:type="gramEnd"/>
    </w:p>
    <w:p w:rsidR="00B47373" w:rsidRPr="00175152" w:rsidRDefault="00B4737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B47373" w:rsidRPr="007C56A1" w:rsidRDefault="00B47373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P</w:t>
      </w:r>
      <w:r w:rsidR="00A72CCB" w:rsidRPr="007C56A1">
        <w:rPr>
          <w:rFonts w:ascii="Baskerville" w:eastAsia="Times" w:hAnsi="Baskerville" w:cs="Baskerville"/>
          <w:b/>
          <w:sz w:val="30"/>
          <w:szCs w:val="30"/>
        </w:rPr>
        <w:t>ROFESSIONAL AFFILIATIONS</w:t>
      </w:r>
    </w:p>
    <w:p w:rsidR="00B47373" w:rsidRPr="00175152" w:rsidRDefault="00B4737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B47373" w:rsidRPr="00C2136A" w:rsidRDefault="00B4737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American Historical Association</w:t>
      </w:r>
      <w:r w:rsidR="00FC29B0" w:rsidRPr="00C2136A">
        <w:rPr>
          <w:rFonts w:ascii="Baskerville" w:eastAsia="Times" w:hAnsi="Baskerville" w:cs="Baskerville"/>
          <w:sz w:val="25"/>
          <w:szCs w:val="25"/>
        </w:rPr>
        <w:t>, 2011 – present</w:t>
      </w:r>
    </w:p>
    <w:p w:rsidR="00B869B8" w:rsidRPr="00C2136A" w:rsidRDefault="00B869B8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Association for the Study of the Worldwide African Diaspora, 2014 – present </w:t>
      </w:r>
    </w:p>
    <w:p w:rsidR="00F202A2" w:rsidRPr="00C2136A" w:rsidRDefault="00F202A2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Coordinating Council for Women in History, 2012 – present </w:t>
      </w:r>
    </w:p>
    <w:p w:rsidR="00FC29B0" w:rsidRPr="00C2136A" w:rsidRDefault="00FC29B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Massachusetts Historical Society, 2011 – present</w:t>
      </w:r>
    </w:p>
    <w:p w:rsidR="00467FF2" w:rsidRDefault="00467FF2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proofErr w:type="spellStart"/>
      <w:r w:rsidRPr="00C2136A">
        <w:rPr>
          <w:rFonts w:ascii="Baskerville" w:eastAsia="Times" w:hAnsi="Baskerville" w:cs="Baskerville"/>
          <w:sz w:val="25"/>
          <w:szCs w:val="25"/>
        </w:rPr>
        <w:t>Omohundro</w:t>
      </w:r>
      <w:proofErr w:type="spellEnd"/>
      <w:r w:rsidRPr="00C2136A">
        <w:rPr>
          <w:rFonts w:ascii="Baskerville" w:eastAsia="Times" w:hAnsi="Baskerville" w:cs="Baskerville"/>
          <w:sz w:val="25"/>
          <w:szCs w:val="25"/>
        </w:rPr>
        <w:t xml:space="preserve"> Institute for Early American History and Culture, 2011 – present </w:t>
      </w:r>
    </w:p>
    <w:p w:rsidR="00C55419" w:rsidRPr="00C2136A" w:rsidRDefault="00C55419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>
        <w:rPr>
          <w:rFonts w:ascii="Baskerville" w:eastAsia="Times" w:hAnsi="Baskerville" w:cs="Baskerville"/>
          <w:sz w:val="25"/>
          <w:szCs w:val="25"/>
        </w:rPr>
        <w:t xml:space="preserve">Society for Historians of the Early American Republic, 2015 – present </w:t>
      </w:r>
    </w:p>
    <w:p w:rsidR="00FC29B0" w:rsidRPr="00C2136A" w:rsidRDefault="00FC29B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Southern Association for Women Historians, 2009 – present</w:t>
      </w:r>
    </w:p>
    <w:p w:rsidR="00A051B3" w:rsidRPr="00C2136A" w:rsidRDefault="00A051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1E285A" w:rsidRPr="007C56A1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LANGUAGES</w:t>
      </w:r>
    </w:p>
    <w:p w:rsidR="001E285A" w:rsidRPr="00175152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1E285A" w:rsidRPr="00C2136A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Spanish – high proficiency (</w:t>
      </w:r>
      <w:r w:rsidR="008B360D" w:rsidRPr="00C2136A">
        <w:rPr>
          <w:rFonts w:ascii="Baskerville" w:eastAsia="Times" w:hAnsi="Baskerville" w:cs="Baskerville"/>
          <w:sz w:val="25"/>
          <w:szCs w:val="25"/>
        </w:rPr>
        <w:t>reading</w:t>
      </w:r>
      <w:r w:rsidRPr="00C2136A">
        <w:rPr>
          <w:rFonts w:ascii="Baskerville" w:eastAsia="Times" w:hAnsi="Baskerville" w:cs="Baskerville"/>
          <w:sz w:val="25"/>
          <w:szCs w:val="25"/>
        </w:rPr>
        <w:t xml:space="preserve"> and writing)</w:t>
      </w:r>
    </w:p>
    <w:p w:rsidR="00E70F9B" w:rsidRDefault="001E285A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French – proficiency (reading)</w:t>
      </w:r>
    </w:p>
    <w:p w:rsidR="005E4EAE" w:rsidRPr="005E4EAE" w:rsidRDefault="005E4EAE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B34391" w:rsidRPr="007C56A1" w:rsidRDefault="00452615" w:rsidP="00C2136A">
      <w:pPr>
        <w:widowControl w:val="0"/>
        <w:spacing w:after="0" w:line="240" w:lineRule="auto"/>
        <w:rPr>
          <w:rFonts w:ascii="Baskerville" w:eastAsia="Times" w:hAnsi="Baskerville" w:cs="Baskerville"/>
          <w:b/>
          <w:sz w:val="30"/>
          <w:szCs w:val="30"/>
        </w:rPr>
      </w:pPr>
      <w:r w:rsidRPr="007C56A1">
        <w:rPr>
          <w:rFonts w:ascii="Baskerville" w:eastAsia="Times" w:hAnsi="Baskerville" w:cs="Baskerville"/>
          <w:b/>
          <w:sz w:val="30"/>
          <w:szCs w:val="30"/>
        </w:rPr>
        <w:t>REFERENCES</w:t>
      </w:r>
    </w:p>
    <w:p w:rsidR="00735906" w:rsidRPr="00175152" w:rsidRDefault="00735906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</w:pPr>
    </w:p>
    <w:p w:rsidR="00D500A0" w:rsidRPr="00175152" w:rsidRDefault="00D500A0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6"/>
          <w:szCs w:val="26"/>
        </w:rPr>
        <w:sectPr w:rsidR="00D500A0" w:rsidRPr="00175152" w:rsidSect="00D53F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lastRenderedPageBreak/>
        <w:t>Laurel Ulrich, 300th Anniversary University Professor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Harvard University Department of History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35 Quincy Street Cambridge, MA 02138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ulrich@fas.harvard.edu | 617.496.9548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Jill </w:t>
      </w:r>
      <w:proofErr w:type="spellStart"/>
      <w:r w:rsidRPr="00C2136A">
        <w:rPr>
          <w:rFonts w:ascii="Baskerville" w:eastAsia="Times" w:hAnsi="Baskerville" w:cs="Baskerville"/>
          <w:sz w:val="25"/>
          <w:szCs w:val="25"/>
        </w:rPr>
        <w:t>Lepore</w:t>
      </w:r>
      <w:proofErr w:type="spellEnd"/>
      <w:r w:rsidRPr="00C2136A">
        <w:rPr>
          <w:rFonts w:ascii="Baskerville" w:eastAsia="Times" w:hAnsi="Baskerville" w:cs="Baskerville"/>
          <w:sz w:val="25"/>
          <w:szCs w:val="25"/>
        </w:rPr>
        <w:t>, David Woods Kemper ’41 Professor of American History</w:t>
      </w:r>
    </w:p>
    <w:p w:rsidR="00C329D7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Harvard University Department of History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35 Quincy Street Cambridge, MA 02138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jill_lepore@harvard.edu | 617.496.5083</w:t>
      </w:r>
    </w:p>
    <w:p w:rsidR="00DB4ED5" w:rsidRDefault="00DB4ED5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Walter Johnson, Winthrop Professor of History and African American Studies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 xml:space="preserve">Harvard University Department of History </w:t>
      </w:r>
    </w:p>
    <w:p w:rsidR="00D53FB3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1730 Cambridge Street Cambridge, MA 02138</w:t>
      </w:r>
    </w:p>
    <w:p w:rsidR="003564A2" w:rsidRPr="00C2136A" w:rsidRDefault="00D53FB3" w:rsidP="00C2136A">
      <w:pPr>
        <w:widowControl w:val="0"/>
        <w:spacing w:after="0" w:line="240" w:lineRule="auto"/>
        <w:rPr>
          <w:rFonts w:ascii="Baskerville" w:eastAsia="Times" w:hAnsi="Baskerville" w:cs="Baskerville"/>
          <w:sz w:val="25"/>
          <w:szCs w:val="25"/>
        </w:rPr>
      </w:pPr>
      <w:r w:rsidRPr="00C2136A">
        <w:rPr>
          <w:rFonts w:ascii="Baskerville" w:eastAsia="Times" w:hAnsi="Baskerville" w:cs="Baskerville"/>
          <w:sz w:val="25"/>
          <w:szCs w:val="25"/>
        </w:rPr>
        <w:t>johnson2@fas.harvard.edu | 617.495.4527</w:t>
      </w:r>
    </w:p>
    <w:sectPr w:rsidR="003564A2" w:rsidRPr="00C2136A" w:rsidSect="00D53F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DB" w:rsidRDefault="00B110DB" w:rsidP="00C2136A">
      <w:pPr>
        <w:spacing w:after="0" w:line="240" w:lineRule="auto"/>
      </w:pPr>
      <w:r>
        <w:separator/>
      </w:r>
    </w:p>
  </w:endnote>
  <w:endnote w:type="continuationSeparator" w:id="0">
    <w:p w:rsidR="00B110DB" w:rsidRDefault="00B110DB" w:rsidP="00C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skerville Old Face" w:hAnsi="Baskerville Old Face"/>
        <w:sz w:val="24"/>
        <w:szCs w:val="24"/>
      </w:rPr>
      <w:id w:val="241253082"/>
      <w:docPartObj>
        <w:docPartGallery w:val="Page Numbers (Bottom of Page)"/>
        <w:docPartUnique/>
      </w:docPartObj>
    </w:sdtPr>
    <w:sdtContent>
      <w:p w:rsidR="00B13EA3" w:rsidRPr="00C2136A" w:rsidRDefault="001F2CA1">
        <w:pPr>
          <w:pStyle w:val="Footer"/>
          <w:jc w:val="center"/>
          <w:rPr>
            <w:rFonts w:ascii="Baskerville Old Face" w:hAnsi="Baskerville Old Face"/>
            <w:sz w:val="24"/>
            <w:szCs w:val="24"/>
          </w:rPr>
        </w:pPr>
        <w:r w:rsidRPr="00C2136A">
          <w:rPr>
            <w:rFonts w:ascii="Baskerville Old Face" w:hAnsi="Baskerville Old Face"/>
            <w:sz w:val="24"/>
            <w:szCs w:val="24"/>
          </w:rPr>
          <w:fldChar w:fldCharType="begin"/>
        </w:r>
        <w:r w:rsidR="00B13EA3" w:rsidRPr="00C2136A">
          <w:rPr>
            <w:rFonts w:ascii="Baskerville Old Face" w:hAnsi="Baskerville Old Face"/>
            <w:sz w:val="24"/>
            <w:szCs w:val="24"/>
          </w:rPr>
          <w:instrText xml:space="preserve"> PAGE   \* MERGEFORMAT </w:instrText>
        </w:r>
        <w:r w:rsidRPr="00C2136A">
          <w:rPr>
            <w:rFonts w:ascii="Baskerville Old Face" w:hAnsi="Baskerville Old Face"/>
            <w:sz w:val="24"/>
            <w:szCs w:val="24"/>
          </w:rPr>
          <w:fldChar w:fldCharType="separate"/>
        </w:r>
        <w:r w:rsidR="00230099">
          <w:rPr>
            <w:rFonts w:ascii="Baskerville Old Face" w:hAnsi="Baskerville Old Face"/>
            <w:noProof/>
            <w:sz w:val="24"/>
            <w:szCs w:val="24"/>
          </w:rPr>
          <w:t>1</w:t>
        </w:r>
        <w:r w:rsidRPr="00C2136A">
          <w:rPr>
            <w:rFonts w:ascii="Baskerville Old Face" w:hAnsi="Baskerville Old Face"/>
            <w:sz w:val="24"/>
            <w:szCs w:val="24"/>
          </w:rPr>
          <w:fldChar w:fldCharType="end"/>
        </w:r>
      </w:p>
    </w:sdtContent>
  </w:sdt>
  <w:p w:rsidR="00B13EA3" w:rsidRPr="00C2136A" w:rsidRDefault="00B13EA3">
    <w:pPr>
      <w:pStyle w:val="Footer"/>
      <w:rPr>
        <w:rFonts w:ascii="Baskerville Old Face" w:hAnsi="Baskerville Old Fac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DB" w:rsidRDefault="00B110DB" w:rsidP="00C2136A">
      <w:pPr>
        <w:spacing w:after="0" w:line="240" w:lineRule="auto"/>
      </w:pPr>
      <w:r>
        <w:separator/>
      </w:r>
    </w:p>
  </w:footnote>
  <w:footnote w:type="continuationSeparator" w:id="0">
    <w:p w:rsidR="00B110DB" w:rsidRDefault="00B110DB" w:rsidP="00C2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A2"/>
    <w:rsid w:val="00017A9D"/>
    <w:rsid w:val="00052537"/>
    <w:rsid w:val="00052F17"/>
    <w:rsid w:val="00065D8D"/>
    <w:rsid w:val="00070308"/>
    <w:rsid w:val="00085D91"/>
    <w:rsid w:val="00090841"/>
    <w:rsid w:val="000A030B"/>
    <w:rsid w:val="000A584D"/>
    <w:rsid w:val="000B14AD"/>
    <w:rsid w:val="000B31F3"/>
    <w:rsid w:val="00107799"/>
    <w:rsid w:val="00111E38"/>
    <w:rsid w:val="00113A1F"/>
    <w:rsid w:val="0012222D"/>
    <w:rsid w:val="001235AA"/>
    <w:rsid w:val="001248FF"/>
    <w:rsid w:val="001252EA"/>
    <w:rsid w:val="00153CB4"/>
    <w:rsid w:val="00175152"/>
    <w:rsid w:val="00176081"/>
    <w:rsid w:val="001853B6"/>
    <w:rsid w:val="00196AD4"/>
    <w:rsid w:val="001D3C18"/>
    <w:rsid w:val="001E285A"/>
    <w:rsid w:val="001F2CA1"/>
    <w:rsid w:val="00204997"/>
    <w:rsid w:val="00213621"/>
    <w:rsid w:val="00226564"/>
    <w:rsid w:val="00230099"/>
    <w:rsid w:val="002317D5"/>
    <w:rsid w:val="00250020"/>
    <w:rsid w:val="002511E5"/>
    <w:rsid w:val="00254A80"/>
    <w:rsid w:val="00272B0F"/>
    <w:rsid w:val="0028289E"/>
    <w:rsid w:val="00287BDF"/>
    <w:rsid w:val="002D49F5"/>
    <w:rsid w:val="002E342A"/>
    <w:rsid w:val="002E5FE1"/>
    <w:rsid w:val="002E6C91"/>
    <w:rsid w:val="002F26D6"/>
    <w:rsid w:val="002F5A71"/>
    <w:rsid w:val="00306716"/>
    <w:rsid w:val="00307F55"/>
    <w:rsid w:val="00336055"/>
    <w:rsid w:val="00341CE5"/>
    <w:rsid w:val="00342BE1"/>
    <w:rsid w:val="0034394F"/>
    <w:rsid w:val="003564A2"/>
    <w:rsid w:val="00374808"/>
    <w:rsid w:val="00377E4F"/>
    <w:rsid w:val="0038220C"/>
    <w:rsid w:val="00394C64"/>
    <w:rsid w:val="003A2B9B"/>
    <w:rsid w:val="003B3091"/>
    <w:rsid w:val="003B4561"/>
    <w:rsid w:val="003D3F10"/>
    <w:rsid w:val="003D5BE4"/>
    <w:rsid w:val="003E2C00"/>
    <w:rsid w:val="003E48D2"/>
    <w:rsid w:val="003E6BB8"/>
    <w:rsid w:val="00403076"/>
    <w:rsid w:val="00433895"/>
    <w:rsid w:val="0043729C"/>
    <w:rsid w:val="004441DD"/>
    <w:rsid w:val="0044758D"/>
    <w:rsid w:val="00452615"/>
    <w:rsid w:val="0046136F"/>
    <w:rsid w:val="00462BC1"/>
    <w:rsid w:val="00467FF2"/>
    <w:rsid w:val="00473E5D"/>
    <w:rsid w:val="004B1FAC"/>
    <w:rsid w:val="004C2A67"/>
    <w:rsid w:val="004F08D7"/>
    <w:rsid w:val="00512DEF"/>
    <w:rsid w:val="0053439C"/>
    <w:rsid w:val="00537E97"/>
    <w:rsid w:val="00572592"/>
    <w:rsid w:val="005A7783"/>
    <w:rsid w:val="005E4EAE"/>
    <w:rsid w:val="005E51BB"/>
    <w:rsid w:val="00607CE5"/>
    <w:rsid w:val="006224D5"/>
    <w:rsid w:val="00632677"/>
    <w:rsid w:val="00645DBE"/>
    <w:rsid w:val="00651708"/>
    <w:rsid w:val="00663B56"/>
    <w:rsid w:val="00667EC7"/>
    <w:rsid w:val="0068000B"/>
    <w:rsid w:val="00681B91"/>
    <w:rsid w:val="00690973"/>
    <w:rsid w:val="00693D10"/>
    <w:rsid w:val="006D44A9"/>
    <w:rsid w:val="006F110F"/>
    <w:rsid w:val="006F127F"/>
    <w:rsid w:val="00712DD4"/>
    <w:rsid w:val="00735906"/>
    <w:rsid w:val="00751B6C"/>
    <w:rsid w:val="00762FDC"/>
    <w:rsid w:val="00766A45"/>
    <w:rsid w:val="00790088"/>
    <w:rsid w:val="00790A89"/>
    <w:rsid w:val="007B23FF"/>
    <w:rsid w:val="007C3570"/>
    <w:rsid w:val="007C56A1"/>
    <w:rsid w:val="007C5F25"/>
    <w:rsid w:val="007D34C1"/>
    <w:rsid w:val="007E307A"/>
    <w:rsid w:val="007E40CB"/>
    <w:rsid w:val="007F30F2"/>
    <w:rsid w:val="007F3E45"/>
    <w:rsid w:val="007F7091"/>
    <w:rsid w:val="00812397"/>
    <w:rsid w:val="00830ED1"/>
    <w:rsid w:val="008513CD"/>
    <w:rsid w:val="008535E7"/>
    <w:rsid w:val="00856D0B"/>
    <w:rsid w:val="00875519"/>
    <w:rsid w:val="00883D3B"/>
    <w:rsid w:val="00886DAE"/>
    <w:rsid w:val="008A0778"/>
    <w:rsid w:val="008B356D"/>
    <w:rsid w:val="008B360D"/>
    <w:rsid w:val="008C76E1"/>
    <w:rsid w:val="00900C2A"/>
    <w:rsid w:val="00903915"/>
    <w:rsid w:val="009345F6"/>
    <w:rsid w:val="009468B5"/>
    <w:rsid w:val="009544F1"/>
    <w:rsid w:val="00957DAB"/>
    <w:rsid w:val="00957F0F"/>
    <w:rsid w:val="00963303"/>
    <w:rsid w:val="009635BD"/>
    <w:rsid w:val="00973920"/>
    <w:rsid w:val="009739F4"/>
    <w:rsid w:val="009A05AA"/>
    <w:rsid w:val="009A630B"/>
    <w:rsid w:val="009B2100"/>
    <w:rsid w:val="009C0146"/>
    <w:rsid w:val="009C20FA"/>
    <w:rsid w:val="009D5052"/>
    <w:rsid w:val="00A021EB"/>
    <w:rsid w:val="00A051B3"/>
    <w:rsid w:val="00A1663E"/>
    <w:rsid w:val="00A427F1"/>
    <w:rsid w:val="00A50BAB"/>
    <w:rsid w:val="00A50F5A"/>
    <w:rsid w:val="00A52468"/>
    <w:rsid w:val="00A56760"/>
    <w:rsid w:val="00A6339F"/>
    <w:rsid w:val="00A71505"/>
    <w:rsid w:val="00A717E0"/>
    <w:rsid w:val="00A72CCB"/>
    <w:rsid w:val="00A75F3D"/>
    <w:rsid w:val="00A86282"/>
    <w:rsid w:val="00A9453A"/>
    <w:rsid w:val="00A95C57"/>
    <w:rsid w:val="00AB774C"/>
    <w:rsid w:val="00AC797A"/>
    <w:rsid w:val="00AE0A2F"/>
    <w:rsid w:val="00B05652"/>
    <w:rsid w:val="00B062EA"/>
    <w:rsid w:val="00B0714E"/>
    <w:rsid w:val="00B110DB"/>
    <w:rsid w:val="00B13EA3"/>
    <w:rsid w:val="00B17B27"/>
    <w:rsid w:val="00B25A93"/>
    <w:rsid w:val="00B34391"/>
    <w:rsid w:val="00B35B84"/>
    <w:rsid w:val="00B47373"/>
    <w:rsid w:val="00B60139"/>
    <w:rsid w:val="00B645AC"/>
    <w:rsid w:val="00B84295"/>
    <w:rsid w:val="00B869B8"/>
    <w:rsid w:val="00BA33AA"/>
    <w:rsid w:val="00BB0B1B"/>
    <w:rsid w:val="00BB5C70"/>
    <w:rsid w:val="00BC3C16"/>
    <w:rsid w:val="00BC4664"/>
    <w:rsid w:val="00BC7E55"/>
    <w:rsid w:val="00BD2C13"/>
    <w:rsid w:val="00BE20BC"/>
    <w:rsid w:val="00C15F76"/>
    <w:rsid w:val="00C15FB0"/>
    <w:rsid w:val="00C2136A"/>
    <w:rsid w:val="00C30EE6"/>
    <w:rsid w:val="00C329D7"/>
    <w:rsid w:val="00C41C47"/>
    <w:rsid w:val="00C55419"/>
    <w:rsid w:val="00C57AAE"/>
    <w:rsid w:val="00C64344"/>
    <w:rsid w:val="00C65984"/>
    <w:rsid w:val="00C82651"/>
    <w:rsid w:val="00C86412"/>
    <w:rsid w:val="00C900E7"/>
    <w:rsid w:val="00CA6B8B"/>
    <w:rsid w:val="00CB55A0"/>
    <w:rsid w:val="00CD38AA"/>
    <w:rsid w:val="00D00EB9"/>
    <w:rsid w:val="00D02CE9"/>
    <w:rsid w:val="00D04CE0"/>
    <w:rsid w:val="00D05C32"/>
    <w:rsid w:val="00D2145A"/>
    <w:rsid w:val="00D222F7"/>
    <w:rsid w:val="00D350E9"/>
    <w:rsid w:val="00D500A0"/>
    <w:rsid w:val="00D500F7"/>
    <w:rsid w:val="00D51B0A"/>
    <w:rsid w:val="00D53FB3"/>
    <w:rsid w:val="00D91C29"/>
    <w:rsid w:val="00DA608F"/>
    <w:rsid w:val="00DB2A21"/>
    <w:rsid w:val="00DB4E25"/>
    <w:rsid w:val="00DB4ED5"/>
    <w:rsid w:val="00DC61E6"/>
    <w:rsid w:val="00DC680C"/>
    <w:rsid w:val="00DD1BBF"/>
    <w:rsid w:val="00DE21BF"/>
    <w:rsid w:val="00DE626A"/>
    <w:rsid w:val="00DF1428"/>
    <w:rsid w:val="00E01FF8"/>
    <w:rsid w:val="00E426B1"/>
    <w:rsid w:val="00E4282C"/>
    <w:rsid w:val="00E522F0"/>
    <w:rsid w:val="00E70F9B"/>
    <w:rsid w:val="00E74E34"/>
    <w:rsid w:val="00E8284B"/>
    <w:rsid w:val="00E92EFC"/>
    <w:rsid w:val="00EA21CA"/>
    <w:rsid w:val="00EA4483"/>
    <w:rsid w:val="00EB11A2"/>
    <w:rsid w:val="00EC4B72"/>
    <w:rsid w:val="00F07C64"/>
    <w:rsid w:val="00F157D4"/>
    <w:rsid w:val="00F202A2"/>
    <w:rsid w:val="00F251EA"/>
    <w:rsid w:val="00F318C8"/>
    <w:rsid w:val="00F3231A"/>
    <w:rsid w:val="00F56530"/>
    <w:rsid w:val="00F631C1"/>
    <w:rsid w:val="00F7304B"/>
    <w:rsid w:val="00F7667B"/>
    <w:rsid w:val="00FA0D8A"/>
    <w:rsid w:val="00FB21DD"/>
    <w:rsid w:val="00FC29B0"/>
    <w:rsid w:val="00FC7CEC"/>
    <w:rsid w:val="00FC7F07"/>
    <w:rsid w:val="00FD1903"/>
    <w:rsid w:val="00FE136F"/>
    <w:rsid w:val="00FF5175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3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3E97-1B1E-4C41-8BA0-5C2331A6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9</cp:revision>
  <cp:lastPrinted>2015-03-27T16:18:00Z</cp:lastPrinted>
  <dcterms:created xsi:type="dcterms:W3CDTF">2015-09-24T03:41:00Z</dcterms:created>
  <dcterms:modified xsi:type="dcterms:W3CDTF">2016-01-08T23:22:00Z</dcterms:modified>
</cp:coreProperties>
</file>