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872C" w14:textId="03E18240" w:rsidR="00002AEF" w:rsidRPr="007F172D" w:rsidRDefault="00A0396D" w:rsidP="00BD55A3">
      <w:pPr>
        <w:jc w:val="center"/>
        <w:rPr>
          <w:rStyle w:val="TitleChar"/>
          <w:rFonts w:eastAsia="Cambria"/>
        </w:rPr>
      </w:pPr>
      <w:bookmarkStart w:id="0" w:name="_GoBack"/>
      <w:bookmarkEnd w:id="0"/>
      <w:r>
        <w:rPr>
          <w:rStyle w:val="TitleChar"/>
          <w:rFonts w:eastAsia="Cambria"/>
        </w:rPr>
        <w:t>Advance Market Commitments</w:t>
      </w:r>
      <w:r w:rsidR="00347CD3">
        <w:rPr>
          <w:rStyle w:val="TitleChar"/>
          <w:rFonts w:eastAsia="Cambria"/>
        </w:rPr>
        <w:t>: Insights</w:t>
      </w:r>
      <w:r>
        <w:rPr>
          <w:rStyle w:val="TitleChar"/>
          <w:rFonts w:eastAsia="Cambria"/>
        </w:rPr>
        <w:t xml:space="preserve"> from Theory and Experience</w:t>
      </w:r>
    </w:p>
    <w:p w14:paraId="4A8F7FE5" w14:textId="35A783C1" w:rsidR="00002AEF" w:rsidRDefault="00002AEF" w:rsidP="00002AEF">
      <w:pPr>
        <w:pStyle w:val="Author"/>
      </w:pPr>
      <w:r w:rsidRPr="001613C7">
        <w:rPr>
          <w:i/>
          <w:smallCaps w:val="0"/>
        </w:rPr>
        <w:t>By</w:t>
      </w:r>
      <w:r>
        <w:t xml:space="preserve"> </w:t>
      </w:r>
      <w:r w:rsidR="00A0396D">
        <w:t xml:space="preserve">Michael Kremer, Jonathan Levin, </w:t>
      </w:r>
      <w:r w:rsidR="004201B3">
        <w:t>and Christopher M. Snyder</w:t>
      </w:r>
      <w:r>
        <w:t>*</w:t>
      </w:r>
    </w:p>
    <w:p w14:paraId="39594B0F" w14:textId="77777777" w:rsidR="00002AEF" w:rsidRDefault="00002AEF" w:rsidP="00002AEF">
      <w:pPr>
        <w:rPr>
          <w:rFonts w:ascii="TimesLTStd-Roman" w:hAnsi="TimesLTStd-Roman"/>
          <w:spacing w:val="2"/>
        </w:rPr>
        <w:sectPr w:rsidR="00002AEF" w:rsidSect="00002AEF">
          <w:type w:val="continuous"/>
          <w:pgSz w:w="12240" w:h="15840"/>
          <w:pgMar w:top="1440" w:right="1440" w:bottom="1440" w:left="1440" w:header="720" w:footer="720" w:gutter="0"/>
          <w:cols w:space="360"/>
        </w:sectPr>
      </w:pPr>
    </w:p>
    <w:p w14:paraId="31A15C30" w14:textId="264B9514" w:rsidR="00002AEF" w:rsidRDefault="00002AEF" w:rsidP="00002AEF">
      <w:pPr>
        <w:pStyle w:val="Contact"/>
      </w:pPr>
      <w:r>
        <w:t>*</w:t>
      </w:r>
      <w:r w:rsidR="004201B3">
        <w:rPr>
          <w:rFonts w:cs="Times New Roman"/>
        </w:rPr>
        <w:t xml:space="preserve">Kremer: </w:t>
      </w:r>
      <w:r w:rsidR="00D63B2D">
        <w:rPr>
          <w:rFonts w:cs="Times New Roman"/>
        </w:rPr>
        <w:t xml:space="preserve">Department of Economics, Harvard University, Cambridge, MA 02138 (e-mail: </w:t>
      </w:r>
      <w:r w:rsidR="00D63B2D" w:rsidRPr="00D63B2D">
        <w:rPr>
          <w:rFonts w:cs="Times New Roman"/>
        </w:rPr>
        <w:t>mkremer@fas.harvard.edu</w:t>
      </w:r>
      <w:r w:rsidR="00D63B2D">
        <w:rPr>
          <w:rFonts w:cs="Times New Roman"/>
        </w:rPr>
        <w:t>) and NBER.</w:t>
      </w:r>
      <w:r>
        <w:rPr>
          <w:rFonts w:cs="Times New Roman"/>
        </w:rPr>
        <w:t xml:space="preserve"> </w:t>
      </w:r>
      <w:r w:rsidR="004201B3" w:rsidRPr="004201B3">
        <w:rPr>
          <w:rFonts w:cs="Times New Roman"/>
        </w:rPr>
        <w:t>Levin: Graduate School of Business, Stanford University, Stanford, CA 94305 (e</w:t>
      </w:r>
      <w:r w:rsidR="00D63B2D">
        <w:rPr>
          <w:rFonts w:cs="Times New Roman"/>
        </w:rPr>
        <w:t>-</w:t>
      </w:r>
      <w:r w:rsidR="004201B3" w:rsidRPr="004201B3">
        <w:rPr>
          <w:rFonts w:cs="Times New Roman"/>
        </w:rPr>
        <w:t>mail: jdlevin@stanford.edu) and NBER</w:t>
      </w:r>
      <w:r w:rsidR="00D63B2D">
        <w:rPr>
          <w:rFonts w:cs="Times New Roman"/>
        </w:rPr>
        <w:t xml:space="preserve">. Snyder: Department of Economics, Dartmouth College, Hanover, NH 03755 (e-mail: </w:t>
      </w:r>
      <w:r w:rsidR="00D63B2D" w:rsidRPr="00D63B2D">
        <w:rPr>
          <w:rFonts w:cs="Times New Roman"/>
        </w:rPr>
        <w:t>chris.snyder@dartmouth.edu</w:t>
      </w:r>
      <w:r w:rsidR="00D63B2D">
        <w:rPr>
          <w:rFonts w:cs="Times New Roman"/>
        </w:rPr>
        <w:t xml:space="preserve">) and NBER. </w:t>
      </w:r>
      <w:r w:rsidR="00EB27E7" w:rsidRPr="00EB27E7">
        <w:rPr>
          <w:rFonts w:cs="Times New Roman"/>
        </w:rPr>
        <w:t xml:space="preserve">The authors were members of the Economic Expert Group that helped to design the </w:t>
      </w:r>
      <w:r w:rsidR="00805087">
        <w:rPr>
          <w:rFonts w:cs="Times New Roman"/>
        </w:rPr>
        <w:t xml:space="preserve">pilot </w:t>
      </w:r>
      <w:r w:rsidR="00EB27E7" w:rsidRPr="00EB27E7">
        <w:rPr>
          <w:rFonts w:cs="Times New Roman"/>
        </w:rPr>
        <w:t>Advance Market Commitment</w:t>
      </w:r>
      <w:r w:rsidR="00510199">
        <w:rPr>
          <w:rFonts w:cs="Times New Roman"/>
        </w:rPr>
        <w:t xml:space="preserve"> for pneumococcus vaccine</w:t>
      </w:r>
      <w:r w:rsidR="00EB27E7" w:rsidRPr="00EB27E7">
        <w:rPr>
          <w:rFonts w:cs="Times New Roman"/>
        </w:rPr>
        <w:t xml:space="preserve">. </w:t>
      </w:r>
      <w:r w:rsidR="0098115A">
        <w:rPr>
          <w:rFonts w:cs="Times New Roman"/>
        </w:rPr>
        <w:t xml:space="preserve">We </w:t>
      </w:r>
      <w:r w:rsidR="00D63B2D">
        <w:rPr>
          <w:rFonts w:cs="Times New Roman"/>
        </w:rPr>
        <w:t xml:space="preserve">are grateful to </w:t>
      </w:r>
      <w:r w:rsidR="0046449D">
        <w:rPr>
          <w:rFonts w:cs="Times New Roman"/>
        </w:rPr>
        <w:t>Arthur Baker for excellent research assistance</w:t>
      </w:r>
      <w:r w:rsidR="0098115A">
        <w:rPr>
          <w:rFonts w:cs="Times New Roman"/>
        </w:rPr>
        <w:t xml:space="preserve"> and</w:t>
      </w:r>
      <w:r w:rsidR="009A0C54">
        <w:rPr>
          <w:rFonts w:cs="Times New Roman"/>
        </w:rPr>
        <w:t xml:space="preserve"> Owen Barder and</w:t>
      </w:r>
      <w:r w:rsidR="0098115A">
        <w:rPr>
          <w:rFonts w:cs="Times New Roman"/>
        </w:rPr>
        <w:t xml:space="preserve"> Rachel Glennerster for insightful comments</w:t>
      </w:r>
      <w:r>
        <w:t>.</w:t>
      </w:r>
    </w:p>
    <w:p w14:paraId="10C8DE63" w14:textId="3BE86CC0" w:rsidR="00EB27E7" w:rsidRDefault="00EB27E7" w:rsidP="00B845CD">
      <w:r w:rsidRPr="00EB27E7">
        <w:t xml:space="preserve">Ten years ago, donors committed $1.5 billion </w:t>
      </w:r>
      <w:r w:rsidR="006C5BE0">
        <w:t xml:space="preserve">to </w:t>
      </w:r>
      <w:r w:rsidRPr="00EB27E7">
        <w:t>a</w:t>
      </w:r>
      <w:r w:rsidR="00DD3ADC">
        <w:t xml:space="preserve"> pilot </w:t>
      </w:r>
      <w:r w:rsidRPr="00EB27E7">
        <w:t xml:space="preserve">Advance Market Commitment (AMC) </w:t>
      </w:r>
      <w:r w:rsidR="004F3204">
        <w:t xml:space="preserve">to help purchase </w:t>
      </w:r>
      <w:r w:rsidRPr="00EB27E7">
        <w:t>pneumococcal vaccine</w:t>
      </w:r>
      <w:r w:rsidR="004F3204">
        <w:t xml:space="preserve"> for low-income countries</w:t>
      </w:r>
      <w:r w:rsidR="00AE1AFF">
        <w:t xml:space="preserve">. The AMC aimed </w:t>
      </w:r>
      <w:r w:rsidRPr="00EB27E7">
        <w:t xml:space="preserve">to encourage the development </w:t>
      </w:r>
      <w:r w:rsidR="0053514D">
        <w:t>of such vaccines</w:t>
      </w:r>
      <w:r w:rsidR="006C5BE0">
        <w:t>, ensure</w:t>
      </w:r>
      <w:r w:rsidR="0053514D">
        <w:t xml:space="preserve"> distribution to </w:t>
      </w:r>
      <w:r w:rsidRPr="00EB27E7">
        <w:t xml:space="preserve">children </w:t>
      </w:r>
      <w:r w:rsidR="0053514D">
        <w:t>in low-income countries</w:t>
      </w:r>
      <w:r w:rsidRPr="00EB27E7">
        <w:t>, and</w:t>
      </w:r>
      <w:r w:rsidR="006138F1">
        <w:t xml:space="preserve"> </w:t>
      </w:r>
      <w:r w:rsidRPr="00EB27E7">
        <w:t xml:space="preserve">pilot the AMC </w:t>
      </w:r>
      <w:r w:rsidR="004F3204">
        <w:t>mechanism</w:t>
      </w:r>
      <w:r w:rsidR="006C5BE0">
        <w:t xml:space="preserve"> </w:t>
      </w:r>
      <w:r w:rsidRPr="00EB27E7">
        <w:t>for possible future use.</w:t>
      </w:r>
      <w:r w:rsidR="0053514D">
        <w:t xml:space="preserve"> T</w:t>
      </w:r>
      <w:r w:rsidRPr="00EB27E7">
        <w:t>hree vaccines have been developed and more than 150 million children immunized, saving an estimated 700,000 lives. This paper reviews the economic logic behind AMCs</w:t>
      </w:r>
      <w:r>
        <w:t>,</w:t>
      </w:r>
      <w:r w:rsidRPr="00EB27E7">
        <w:t xml:space="preserve"> </w:t>
      </w:r>
      <w:r w:rsidR="00AE1AFF">
        <w:t xml:space="preserve">the </w:t>
      </w:r>
      <w:r w:rsidRPr="00EB27E7">
        <w:t xml:space="preserve">experience </w:t>
      </w:r>
      <w:r w:rsidR="00510199">
        <w:t>with</w:t>
      </w:r>
      <w:r w:rsidRPr="00EB27E7">
        <w:t xml:space="preserve"> the pilot</w:t>
      </w:r>
      <w:r w:rsidR="00510199">
        <w:t>, and</w:t>
      </w:r>
      <w:r w:rsidR="00AE1AFF">
        <w:t xml:space="preserve"> </w:t>
      </w:r>
      <w:r w:rsidR="00510199">
        <w:t xml:space="preserve">key </w:t>
      </w:r>
      <w:r w:rsidRPr="00EB27E7">
        <w:t xml:space="preserve">issues </w:t>
      </w:r>
      <w:r w:rsidR="00805087">
        <w:t xml:space="preserve">for </w:t>
      </w:r>
      <w:r w:rsidRPr="00EB27E7">
        <w:t>future AMCs.</w:t>
      </w:r>
    </w:p>
    <w:p w14:paraId="28D0DC55" w14:textId="26BA6FE0" w:rsidR="00B42CEF" w:rsidRPr="006900BF" w:rsidRDefault="00B42CEF" w:rsidP="00B42CEF">
      <w:pPr>
        <w:pStyle w:val="Heading1"/>
      </w:pPr>
      <w:r w:rsidRPr="006900BF">
        <w:t xml:space="preserve">I. </w:t>
      </w:r>
      <w:r w:rsidR="00EB27E7">
        <w:t>Theory of AMCs</w:t>
      </w:r>
    </w:p>
    <w:p w14:paraId="0DF8E13E" w14:textId="1C1C1F8D" w:rsidR="00EB27E7" w:rsidRDefault="00EB27E7" w:rsidP="00EB27E7">
      <w:pPr>
        <w:pStyle w:val="Heading2"/>
      </w:pPr>
      <w:r>
        <w:t xml:space="preserve">A. </w:t>
      </w:r>
      <w:r w:rsidR="0053514D">
        <w:t xml:space="preserve">Technologically </w:t>
      </w:r>
      <w:r>
        <w:t xml:space="preserve">Distant </w:t>
      </w:r>
      <w:r w:rsidR="00D021BB">
        <w:t>Target</w:t>
      </w:r>
    </w:p>
    <w:p w14:paraId="38C8ADA3" w14:textId="7FA061A5" w:rsidR="000B7A42" w:rsidRDefault="006138F1" w:rsidP="000B7A42">
      <w:r w:rsidRPr="006138F1">
        <w:t xml:space="preserve">Kremer </w:t>
      </w:r>
      <w:r w:rsidR="00926D1B">
        <w:t>and</w:t>
      </w:r>
      <w:r w:rsidRPr="006138F1">
        <w:t xml:space="preserve"> Glennerster (2004)</w:t>
      </w:r>
      <w:r w:rsidR="00926D1B">
        <w:t xml:space="preserve"> </w:t>
      </w:r>
      <w:r w:rsidR="00EB27E7">
        <w:t xml:space="preserve">proposed AMCs </w:t>
      </w:r>
      <w:r w:rsidR="00AE1AFF">
        <w:t xml:space="preserve">to </w:t>
      </w:r>
      <w:r w:rsidR="00EB27E7">
        <w:t xml:space="preserve">encourage research on </w:t>
      </w:r>
      <w:r w:rsidR="006C5BE0">
        <w:t xml:space="preserve">vaccines </w:t>
      </w:r>
      <w:r w:rsidR="004F3204">
        <w:t xml:space="preserve">against </w:t>
      </w:r>
      <w:r w:rsidR="00EB27E7">
        <w:t xml:space="preserve">diseases </w:t>
      </w:r>
      <w:r w:rsidR="006C5BE0">
        <w:t xml:space="preserve">such as malaria </w:t>
      </w:r>
      <w:r w:rsidR="00EB27E7">
        <w:t>primarily affect</w:t>
      </w:r>
      <w:r w:rsidR="006C5BE0">
        <w:t>ing</w:t>
      </w:r>
      <w:r w:rsidR="00EB27E7">
        <w:t xml:space="preserve"> low-income countries</w:t>
      </w:r>
      <w:r w:rsidR="00510199">
        <w:t>,</w:t>
      </w:r>
      <w:r w:rsidR="00EB27E7">
        <w:t xml:space="preserve"> and to promote </w:t>
      </w:r>
      <w:r w:rsidR="00EB27E7">
        <w:t xml:space="preserve">access </w:t>
      </w:r>
      <w:r w:rsidR="00AE1AFF">
        <w:t xml:space="preserve">to these </w:t>
      </w:r>
      <w:r w:rsidR="00EB27E7">
        <w:t xml:space="preserve">vaccines </w:t>
      </w:r>
      <w:r w:rsidR="00AE1AFF">
        <w:t xml:space="preserve">once </w:t>
      </w:r>
      <w:r w:rsidR="00EB27E7">
        <w:t xml:space="preserve">developed. </w:t>
      </w:r>
      <w:r w:rsidR="003652DE">
        <w:t>The AMC has d</w:t>
      </w:r>
      <w:r w:rsidR="00EB27E7">
        <w:t>onors pledge</w:t>
      </w:r>
      <w:r w:rsidR="00D602B5">
        <w:t xml:space="preserve"> to top up </w:t>
      </w:r>
      <w:r w:rsidR="000B7A42">
        <w:t xml:space="preserve">payments for </w:t>
      </w:r>
      <w:r w:rsidR="004F3204">
        <w:t>new</w:t>
      </w:r>
      <w:r w:rsidR="00A00CE9">
        <w:t>ly introduced</w:t>
      </w:r>
      <w:r w:rsidR="004F3204">
        <w:t xml:space="preserve"> </w:t>
      </w:r>
      <w:r w:rsidR="00EB27E7">
        <w:t>vaccine meeting technical benchmarks, conditional on the firm</w:t>
      </w:r>
      <w:r w:rsidR="000B7A42">
        <w:t>’s</w:t>
      </w:r>
      <w:r w:rsidR="00EB27E7">
        <w:t xml:space="preserve"> </w:t>
      </w:r>
      <w:r w:rsidR="002554FB">
        <w:t xml:space="preserve">setting </w:t>
      </w:r>
      <w:r w:rsidR="000B7A42">
        <w:t>the price close to marginal cost</w:t>
      </w:r>
      <w:r w:rsidR="00E820CC">
        <w:t>.</w:t>
      </w:r>
    </w:p>
    <w:p w14:paraId="0308DC27" w14:textId="796D7553" w:rsidR="00724006" w:rsidRDefault="00B434A1">
      <w:r>
        <w:t xml:space="preserve">The AMC is designed to tackle static and dynamic distortions in the vaccine market. The </w:t>
      </w:r>
      <w:r w:rsidR="000B7A42">
        <w:t>p</w:t>
      </w:r>
      <w:r>
        <w:t>rice</w:t>
      </w:r>
      <w:r w:rsidR="00470DC6">
        <w:t>-</w:t>
      </w:r>
      <w:r>
        <w:t xml:space="preserve">cap </w:t>
      </w:r>
      <w:r w:rsidR="000B7A42">
        <w:t xml:space="preserve">feature of the AMC is designed to mitigate </w:t>
      </w:r>
      <w:r>
        <w:t>static deadweight loss from firms’ exercis</w:t>
      </w:r>
      <w:r w:rsidR="00CB6F66">
        <w:t>ing</w:t>
      </w:r>
      <w:r>
        <w:t xml:space="preserve"> market power</w:t>
      </w:r>
      <w:r w:rsidR="00667D8B">
        <w:t>.</w:t>
      </w:r>
      <w:r w:rsidR="003652DE">
        <w:t xml:space="preserve"> </w:t>
      </w:r>
      <w:r w:rsidR="00470DC6">
        <w:t xml:space="preserve">Donors’ </w:t>
      </w:r>
      <w:r w:rsidR="00CB6F66">
        <w:t xml:space="preserve">commitment </w:t>
      </w:r>
      <w:r w:rsidR="00FC2722">
        <w:t xml:space="preserve">to </w:t>
      </w:r>
      <w:r w:rsidR="000B7A42">
        <w:t xml:space="preserve">top </w:t>
      </w:r>
      <w:r w:rsidR="00470DC6">
        <w:t xml:space="preserve">up </w:t>
      </w:r>
      <w:r w:rsidR="000B7A42">
        <w:t>price above</w:t>
      </w:r>
      <w:r w:rsidR="009E5C29">
        <w:t xml:space="preserve"> marginal cost</w:t>
      </w:r>
      <w:r w:rsidR="00AD1E05">
        <w:t xml:space="preserve"> </w:t>
      </w:r>
      <w:r w:rsidR="00AB277C">
        <w:t xml:space="preserve">is designed to </w:t>
      </w:r>
      <w:r w:rsidR="00AD1E05">
        <w:t xml:space="preserve">bolster </w:t>
      </w:r>
      <w:r w:rsidR="000B7A42">
        <w:t xml:space="preserve">dynamic </w:t>
      </w:r>
      <w:r w:rsidR="00AD1E05">
        <w:t>R&amp;D incentives</w:t>
      </w:r>
      <w:r w:rsidR="003652DE">
        <w:t xml:space="preserve">, which are </w:t>
      </w:r>
      <w:r w:rsidR="00C73A71">
        <w:t>weak due to a number of factors</w:t>
      </w:r>
      <w:r w:rsidR="00DB73F4">
        <w:t xml:space="preserve"> including </w:t>
      </w:r>
      <w:r w:rsidR="00796049">
        <w:t>limited purchasing power in low-income countries, free riding</w:t>
      </w:r>
      <w:r w:rsidR="00675A2A">
        <w:t xml:space="preserve"> by the unvaccinated</w:t>
      </w:r>
      <w:r w:rsidR="00796049">
        <w:t xml:space="preserve"> on the reduction in disease transmission,</w:t>
      </w:r>
      <w:r w:rsidR="000B7A42">
        <w:t xml:space="preserve"> </w:t>
      </w:r>
      <w:r w:rsidR="003763B6">
        <w:t xml:space="preserve">and </w:t>
      </w:r>
      <w:r w:rsidR="00EB27E7">
        <w:t>political pressure to reduce price</w:t>
      </w:r>
      <w:r w:rsidR="00675A2A">
        <w:t xml:space="preserve"> once a vaccine </w:t>
      </w:r>
      <w:r w:rsidR="00965E86">
        <w:t xml:space="preserve">has been </w:t>
      </w:r>
      <w:r w:rsidR="00675A2A">
        <w:t>developed</w:t>
      </w:r>
      <w:r w:rsidR="0013078F">
        <w:t>, causing a hold-up problem</w:t>
      </w:r>
      <w:r w:rsidR="00C73A71">
        <w:t>.</w:t>
      </w:r>
    </w:p>
    <w:p w14:paraId="2883D3FB" w14:textId="77777777" w:rsidR="00DB73F4" w:rsidRDefault="00EF58D1" w:rsidP="00696876">
      <w:pPr>
        <w:widowControl w:val="0"/>
      </w:pPr>
      <w:r>
        <w:t>A</w:t>
      </w:r>
      <w:r w:rsidR="00724006">
        <w:t>MCs</w:t>
      </w:r>
      <w:r w:rsidR="00DB73F4">
        <w:t>’</w:t>
      </w:r>
      <w:r w:rsidR="00724006">
        <w:t xml:space="preserve"> “pull” funding is meant to supplement, not replace</w:t>
      </w:r>
      <w:r w:rsidR="00470DC6">
        <w:t xml:space="preserve">, </w:t>
      </w:r>
      <w:r>
        <w:t xml:space="preserve">direct </w:t>
      </w:r>
      <w:r w:rsidR="00DB73F4">
        <w:t xml:space="preserve">R&amp;D </w:t>
      </w:r>
      <w:r>
        <w:t>support</w:t>
      </w:r>
      <w:r w:rsidR="00724006">
        <w:t xml:space="preserve"> </w:t>
      </w:r>
      <w:r w:rsidR="00470DC6">
        <w:t>(</w:t>
      </w:r>
      <w:r>
        <w:t>i.e., “push” funding</w:t>
      </w:r>
      <w:r w:rsidR="00470DC6">
        <w:t xml:space="preserve">) </w:t>
      </w:r>
      <w:r w:rsidR="00724006">
        <w:t>while mitigating</w:t>
      </w:r>
      <w:r w:rsidR="00DB73F4">
        <w:t xml:space="preserve"> </w:t>
      </w:r>
      <w:r>
        <w:t>problems attendant with trying to pick winning</w:t>
      </w:r>
      <w:r w:rsidR="00DB73F4">
        <w:t xml:space="preserve"> </w:t>
      </w:r>
      <w:r>
        <w:t xml:space="preserve">projects ex ante under asymmetric information. </w:t>
      </w:r>
    </w:p>
    <w:p w14:paraId="16EAA2EB" w14:textId="6C466106" w:rsidR="00EB27E7" w:rsidRDefault="00EB27E7" w:rsidP="00EB27E7">
      <w:pPr>
        <w:pStyle w:val="Heading2"/>
      </w:pPr>
      <w:r>
        <w:t xml:space="preserve">B. Technologically Close </w:t>
      </w:r>
      <w:r w:rsidR="00D021BB">
        <w:t>Target</w:t>
      </w:r>
    </w:p>
    <w:p w14:paraId="1400661F" w14:textId="196FB504" w:rsidR="00510199" w:rsidRDefault="004A589C" w:rsidP="00D36969">
      <w:r>
        <w:t xml:space="preserve">The original AMC concept </w:t>
      </w:r>
      <w:r w:rsidR="00F50506">
        <w:t xml:space="preserve">was translated </w:t>
      </w:r>
      <w:r>
        <w:t>into a</w:t>
      </w:r>
      <w:r w:rsidR="0031029C">
        <w:t>n</w:t>
      </w:r>
      <w:r>
        <w:t xml:space="preserve"> actionable proposal</w:t>
      </w:r>
      <w:r w:rsidR="00F50506">
        <w:t xml:space="preserve"> in</w:t>
      </w:r>
      <w:r>
        <w:t xml:space="preserve"> a </w:t>
      </w:r>
      <w:r w:rsidR="00F039EE">
        <w:t xml:space="preserve">Center for </w:t>
      </w:r>
      <w:r w:rsidR="00F039EE">
        <w:lastRenderedPageBreak/>
        <w:t xml:space="preserve">Global Development </w:t>
      </w:r>
      <w:r>
        <w:t>working group report (</w:t>
      </w:r>
      <w:r w:rsidR="00F039EE" w:rsidRPr="00F039EE">
        <w:t>Barder, Kremer, and Levine</w:t>
      </w:r>
      <w:r w:rsidR="00F039EE">
        <w:t xml:space="preserve"> </w:t>
      </w:r>
      <w:r w:rsidR="00F039EE" w:rsidRPr="00F039EE">
        <w:t>2005)</w:t>
      </w:r>
      <w:r w:rsidR="00F50506">
        <w:t xml:space="preserve">. </w:t>
      </w:r>
      <w:r w:rsidR="001D6180">
        <w:t xml:space="preserve">The group </w:t>
      </w:r>
      <w:r w:rsidR="00F50506">
        <w:t>suggested</w:t>
      </w:r>
      <w:r w:rsidR="00F32752">
        <w:t xml:space="preserve"> </w:t>
      </w:r>
      <w:r>
        <w:t xml:space="preserve">conducting </w:t>
      </w:r>
      <w:r w:rsidR="00510199">
        <w:t>AMC</w:t>
      </w:r>
      <w:r w:rsidR="00D36969">
        <w:t xml:space="preserve">s for both technologically distant and technologically close targets. </w:t>
      </w:r>
      <w:r w:rsidR="00F32752">
        <w:t>Th</w:t>
      </w:r>
      <w:r w:rsidR="00D36969">
        <w:t xml:space="preserve">ere are several important theoretical distinctions between these </w:t>
      </w:r>
      <w:r>
        <w:t>targets</w:t>
      </w:r>
      <w:r w:rsidR="00D36969">
        <w:t>.</w:t>
      </w:r>
      <w:r w:rsidR="00B13128">
        <w:t xml:space="preserve"> </w:t>
      </w:r>
    </w:p>
    <w:p w14:paraId="28FC4EF5" w14:textId="5B324B1D" w:rsidR="00E2600E" w:rsidRDefault="00F32752" w:rsidP="00490299">
      <w:r>
        <w:t xml:space="preserve">First, </w:t>
      </w:r>
      <w:r w:rsidR="003F31EF">
        <w:t xml:space="preserve">the </w:t>
      </w:r>
      <w:r w:rsidR="009E1458">
        <w:t>further a vaccine is along its development path into clinical trials, the</w:t>
      </w:r>
      <w:r w:rsidR="00D36969">
        <w:t xml:space="preserve"> less </w:t>
      </w:r>
      <w:r w:rsidR="007C288F">
        <w:t>R&amp;D</w:t>
      </w:r>
      <w:r w:rsidR="00603176">
        <w:t xml:space="preserve"> </w:t>
      </w:r>
      <w:r w:rsidR="003F31EF">
        <w:t xml:space="preserve">remains </w:t>
      </w:r>
      <w:r w:rsidR="00D36969">
        <w:t xml:space="preserve">to be </w:t>
      </w:r>
      <w:r w:rsidR="003F31EF">
        <w:t>undertaken</w:t>
      </w:r>
      <w:r w:rsidR="00D36969">
        <w:t>.</w:t>
      </w:r>
      <w:r w:rsidR="009E1458">
        <w:t xml:space="preserve"> T</w:t>
      </w:r>
      <w:r w:rsidR="00D36969">
        <w:t>he key challenge switches from incentivizing R&amp;D to</w:t>
      </w:r>
      <w:r w:rsidR="007C288F">
        <w:t xml:space="preserve"> incentiviz</w:t>
      </w:r>
      <w:r w:rsidR="00D36969">
        <w:t>ing</w:t>
      </w:r>
      <w:r w:rsidR="007C288F">
        <w:t xml:space="preserve"> </w:t>
      </w:r>
      <w:r w:rsidR="00890085">
        <w:t>adequate</w:t>
      </w:r>
      <w:r w:rsidR="00B17DE2">
        <w:t xml:space="preserve"> capacity </w:t>
      </w:r>
      <w:r w:rsidR="00890085">
        <w:t>to bring</w:t>
      </w:r>
      <w:r w:rsidR="00D021BB">
        <w:t xml:space="preserve"> usage to socially efficient levels</w:t>
      </w:r>
      <w:r w:rsidR="00890085">
        <w:t>.</w:t>
      </w:r>
      <w:r w:rsidR="009E1458">
        <w:t xml:space="preserve"> </w:t>
      </w:r>
      <w:r w:rsidR="00696876">
        <w:t xml:space="preserve">Vaccine capacity is expensive. </w:t>
      </w:r>
      <w:r w:rsidR="00E2600E">
        <w:t>Whether to avoid hold up of the substantial capacity investment required (in a bargaining model) or to leverage monopsony power (in a price-theoretic model), a robust theoretical finding is that firms will tend to underinvest in capacity absent an AMC.</w:t>
      </w:r>
    </w:p>
    <w:p w14:paraId="7C732AE4" w14:textId="2F81FE0F" w:rsidR="00490299" w:rsidRDefault="00F32752" w:rsidP="00490299">
      <w:r>
        <w:t>Second,</w:t>
      </w:r>
      <w:r w:rsidR="007C288F">
        <w:t xml:space="preserve"> </w:t>
      </w:r>
      <w:r w:rsidR="00CB3AFD">
        <w:t xml:space="preserve">the nature of the information asymmetry between firms and AMC </w:t>
      </w:r>
      <w:r w:rsidR="002C5A0C">
        <w:t>funders</w:t>
      </w:r>
      <w:r w:rsidR="008E1CE2">
        <w:t xml:space="preserve"> may change with technological distance</w:t>
      </w:r>
      <w:r w:rsidR="00CB3AFD">
        <w:t>.</w:t>
      </w:r>
      <w:r w:rsidR="003F31EF">
        <w:t xml:space="preserve"> For a technologically distant vaccine, </w:t>
      </w:r>
      <w:r w:rsidR="00AD4CA3">
        <w:t xml:space="preserve">the </w:t>
      </w:r>
      <w:r w:rsidR="002C5A0C">
        <w:t>funder</w:t>
      </w:r>
      <w:r w:rsidR="00AD4CA3">
        <w:t xml:space="preserve"> may know little about the </w:t>
      </w:r>
      <w:r w:rsidR="008E1CE2">
        <w:t xml:space="preserve">nature and </w:t>
      </w:r>
      <w:r w:rsidR="00AD4CA3">
        <w:t xml:space="preserve">viability of the technology, giving the </w:t>
      </w:r>
      <w:r w:rsidR="00724006">
        <w:t xml:space="preserve">researchers </w:t>
      </w:r>
      <w:r w:rsidR="00AD4CA3">
        <w:t xml:space="preserve">asymmetric information about its chance of </w:t>
      </w:r>
      <w:r w:rsidR="00696876">
        <w:t>success</w:t>
      </w:r>
      <w:r w:rsidR="00724006">
        <w:t xml:space="preserve">. </w:t>
      </w:r>
      <w:r w:rsidR="008E1CE2">
        <w:t xml:space="preserve">For a technologically close vaccine, published clinical trials may inform the </w:t>
      </w:r>
      <w:r w:rsidR="002C5A0C">
        <w:t>funder</w:t>
      </w:r>
      <w:r w:rsidR="008E1CE2">
        <w:t xml:space="preserve"> about the product’s viability, closing that information gap</w:t>
      </w:r>
      <w:r w:rsidR="002C5A0C">
        <w:t>. However,</w:t>
      </w:r>
      <w:r w:rsidR="008E1CE2">
        <w:t xml:space="preserve"> </w:t>
      </w:r>
      <w:r w:rsidR="005B651F">
        <w:t xml:space="preserve">as the firm solidifies its production process, it </w:t>
      </w:r>
      <w:r w:rsidR="008E1CE2">
        <w:t xml:space="preserve">may </w:t>
      </w:r>
      <w:r w:rsidR="005B651F">
        <w:t xml:space="preserve">instead </w:t>
      </w:r>
      <w:r w:rsidR="008E1CE2">
        <w:t>gain asymmetric information about its costs</w:t>
      </w:r>
      <w:r w:rsidR="00AD4CA3">
        <w:t>.</w:t>
      </w:r>
      <w:r w:rsidR="005B651F">
        <w:t xml:space="preserve"> </w:t>
      </w:r>
    </w:p>
    <w:p w14:paraId="4E4C8158" w14:textId="4FB415B1" w:rsidR="00CB71D2" w:rsidRDefault="00F039EE" w:rsidP="00E74CB7">
      <w:r>
        <w:t>Third,</w:t>
      </w:r>
      <w:r w:rsidR="00CB71D2">
        <w:t xml:space="preserve"> </w:t>
      </w:r>
      <w:r w:rsidR="006F4220">
        <w:t xml:space="preserve">product </w:t>
      </w:r>
      <w:r w:rsidR="00CB71D2">
        <w:t>characteristics are</w:t>
      </w:r>
      <w:r w:rsidR="006F4220">
        <w:t xml:space="preserve"> more predictable and </w:t>
      </w:r>
      <w:r w:rsidR="00D36969">
        <w:t xml:space="preserve">easily </w:t>
      </w:r>
      <w:r w:rsidR="006F4220">
        <w:t xml:space="preserve">understood </w:t>
      </w:r>
      <w:r w:rsidR="00CB71D2">
        <w:t>for technologically close product</w:t>
      </w:r>
      <w:r w:rsidR="00E74CB7">
        <w:t>s</w:t>
      </w:r>
      <w:r w:rsidR="00CB71D2">
        <w:t>.</w:t>
      </w:r>
      <w:r w:rsidR="006F4220">
        <w:t xml:space="preserve"> </w:t>
      </w:r>
      <w:r w:rsidR="00E2600E">
        <w:t xml:space="preserve">Country copayments provide an important market test for technologically distant products, preventing resources from being wasted on products meeting technical specifications but not consumer needs.  This test may not be needed for technologically close products. </w:t>
      </w:r>
    </w:p>
    <w:p w14:paraId="2C3334B4" w14:textId="6AF1B5FC" w:rsidR="003B425B" w:rsidRDefault="003365BE" w:rsidP="003B425B">
      <w:pPr>
        <w:pStyle w:val="Heading2"/>
      </w:pPr>
      <w:r>
        <w:t>C. Modeling AMC Design</w:t>
      </w:r>
    </w:p>
    <w:p w14:paraId="3AC01309" w14:textId="3EC23A9E" w:rsidR="00EB27E7" w:rsidRDefault="00EB27E7" w:rsidP="00FF2117">
      <w:r>
        <w:t xml:space="preserve">Kremer, Levin, and Snyder (2019) develop a model of AMC design that illuminates many of these issues. The model focuses on the hold-up problem: firms </w:t>
      </w:r>
      <w:r w:rsidR="00DD3ADC">
        <w:t xml:space="preserve">invest in R&amp;D and capacity before </w:t>
      </w:r>
      <w:r>
        <w:t>bargain</w:t>
      </w:r>
      <w:r w:rsidR="00DD3ADC">
        <w:t>ing</w:t>
      </w:r>
      <w:r w:rsidR="003365BE">
        <w:t xml:space="preserve"> with purchasers over </w:t>
      </w:r>
      <w:r>
        <w:t xml:space="preserve">price and quantity. </w:t>
      </w:r>
      <w:r w:rsidR="00DD3ADC">
        <w:t>Purchasers expropriate some investment returns in bargaining, leading the firm to underinvest</w:t>
      </w:r>
      <w:r w:rsidR="0019258E">
        <w:t>. The firm may not develop the vaccine at all; if it does, it</w:t>
      </w:r>
      <w:r>
        <w:t xml:space="preserve"> will un</w:t>
      </w:r>
      <w:r w:rsidR="003365BE">
        <w:t>derinvest in capacity</w:t>
      </w:r>
      <w:r>
        <w:t xml:space="preserve"> to serve low-income countries.</w:t>
      </w:r>
    </w:p>
    <w:p w14:paraId="4FCCAA53" w14:textId="726DC7BF" w:rsidR="00D944CE" w:rsidRDefault="00EB27E7" w:rsidP="00D944CE">
      <w:r>
        <w:t>An AMC that commits to a subsidy policy prior to the firm</w:t>
      </w:r>
      <w:r w:rsidR="003365BE">
        <w:t>’s</w:t>
      </w:r>
      <w:r>
        <w:t xml:space="preserve"> investment helps address the inefficiency. </w:t>
      </w:r>
      <w:r w:rsidR="003365BE">
        <w:t>However, the</w:t>
      </w:r>
      <w:r>
        <w:t xml:space="preserve"> design matters</w:t>
      </w:r>
      <w:r w:rsidR="00D944CE">
        <w:t>: i</w:t>
      </w:r>
      <w:r>
        <w:t>f the AMC merely sets a per-dose subsidy, a monopoly supplier can claim the entire AMC</w:t>
      </w:r>
      <w:r w:rsidR="0019258E">
        <w:t xml:space="preserve"> </w:t>
      </w:r>
      <w:r>
        <w:t>fund</w:t>
      </w:r>
      <w:r w:rsidR="0019258E">
        <w:t xml:space="preserve"> </w:t>
      </w:r>
      <w:r w:rsidR="003365BE">
        <w:t>with</w:t>
      </w:r>
      <w:r w:rsidR="00B906CC">
        <w:t xml:space="preserve"> its low </w:t>
      </w:r>
      <w:r w:rsidR="0019258E">
        <w:t>equilibrium capacity</w:t>
      </w:r>
      <w:r w:rsidR="00D944CE">
        <w:t xml:space="preserve">. </w:t>
      </w:r>
      <w:r w:rsidR="00B906CC">
        <w:t xml:space="preserve"> </w:t>
      </w:r>
      <w:r w:rsidR="00D944CE">
        <w:t>I</w:t>
      </w:r>
      <w:r w:rsidR="00B906CC">
        <w:t xml:space="preserve">ncreasing capacity </w:t>
      </w:r>
      <w:r w:rsidR="00CA3EF9">
        <w:t xml:space="preserve">merely </w:t>
      </w:r>
      <w:r w:rsidR="00B906CC">
        <w:t xml:space="preserve">increases the rate at which funds are </w:t>
      </w:r>
      <w:r w:rsidR="003365BE">
        <w:t xml:space="preserve">received. </w:t>
      </w:r>
      <w:r w:rsidR="005B651F">
        <w:t>As Kremer, Levin, and Snyder (2019) show, a</w:t>
      </w:r>
      <w:r w:rsidR="003365BE">
        <w:t xml:space="preserve"> better solution ties AMC funds to capacity commitments.</w:t>
      </w:r>
      <w:r w:rsidR="005B651F">
        <w:t xml:space="preserve"> </w:t>
      </w:r>
    </w:p>
    <w:p w14:paraId="1617D191" w14:textId="2C9EA4EC" w:rsidR="00B42CEF" w:rsidRPr="006900BF" w:rsidRDefault="00B42CEF" w:rsidP="00490299">
      <w:pPr>
        <w:pStyle w:val="Heading1"/>
      </w:pPr>
      <w:r w:rsidRPr="006900BF">
        <w:lastRenderedPageBreak/>
        <w:t>I</w:t>
      </w:r>
      <w:r>
        <w:t>I</w:t>
      </w:r>
      <w:r w:rsidRPr="006900BF">
        <w:t xml:space="preserve">. </w:t>
      </w:r>
      <w:r w:rsidR="00EB27E7">
        <w:t>Pneumococcal Pilot AMC</w:t>
      </w:r>
    </w:p>
    <w:p w14:paraId="03714B18" w14:textId="5ABE529F" w:rsidR="00DF60EF" w:rsidRDefault="00225C5F" w:rsidP="006138F1">
      <w:pPr>
        <w:rPr>
          <w:rFonts w:eastAsia="Times New Roman"/>
        </w:rPr>
      </w:pPr>
      <w:r w:rsidRPr="00225C5F">
        <w:rPr>
          <w:rFonts w:eastAsia="Times New Roman"/>
        </w:rPr>
        <w:t xml:space="preserve">In 2007, five countries and the Gates Foundation pledged $1.5 billion toward a pilot AMC targeting a </w:t>
      </w:r>
      <w:r w:rsidR="00277A5A">
        <w:rPr>
          <w:rFonts w:eastAsia="Times New Roman"/>
        </w:rPr>
        <w:t>pneumococcal conjugate vaccine (PCV)</w:t>
      </w:r>
      <w:r w:rsidR="00F2496C">
        <w:rPr>
          <w:rFonts w:eastAsia="Times New Roman"/>
        </w:rPr>
        <w:t>. T</w:t>
      </w:r>
      <w:r w:rsidR="000F28A5">
        <w:rPr>
          <w:rFonts w:eastAsia="Times New Roman"/>
        </w:rPr>
        <w:t xml:space="preserve">he World Health Organization (WHO) estimated </w:t>
      </w:r>
      <w:r w:rsidR="00F2496C">
        <w:rPr>
          <w:rFonts w:eastAsia="Times New Roman"/>
        </w:rPr>
        <w:t>pneumococcus</w:t>
      </w:r>
      <w:r w:rsidRPr="00225C5F">
        <w:rPr>
          <w:rFonts w:eastAsia="Times New Roman"/>
        </w:rPr>
        <w:t xml:space="preserve"> kill</w:t>
      </w:r>
      <w:r w:rsidR="00F2496C">
        <w:rPr>
          <w:rFonts w:eastAsia="Times New Roman"/>
        </w:rPr>
        <w:t>ed</w:t>
      </w:r>
      <w:r w:rsidRPr="00225C5F">
        <w:rPr>
          <w:rFonts w:eastAsia="Times New Roman"/>
        </w:rPr>
        <w:t xml:space="preserve"> </w:t>
      </w:r>
      <w:r w:rsidR="000F28A5">
        <w:rPr>
          <w:rFonts w:eastAsia="Times New Roman"/>
        </w:rPr>
        <w:t xml:space="preserve">more than </w:t>
      </w:r>
      <w:r w:rsidRPr="00225C5F">
        <w:rPr>
          <w:rFonts w:eastAsia="Times New Roman"/>
        </w:rPr>
        <w:t>700,000 children under five in developing countries annually</w:t>
      </w:r>
      <w:r w:rsidR="00BA70C4">
        <w:rPr>
          <w:rFonts w:eastAsia="Times New Roman"/>
        </w:rPr>
        <w:t xml:space="preserve"> at that time</w:t>
      </w:r>
      <w:r w:rsidRPr="00225C5F">
        <w:rPr>
          <w:rFonts w:eastAsia="Times New Roman"/>
        </w:rPr>
        <w:t xml:space="preserve"> (W</w:t>
      </w:r>
      <w:r w:rsidR="000F28A5">
        <w:rPr>
          <w:rFonts w:eastAsia="Times New Roman"/>
        </w:rPr>
        <w:t>HO</w:t>
      </w:r>
      <w:r w:rsidRPr="00225C5F">
        <w:rPr>
          <w:rFonts w:eastAsia="Times New Roman"/>
        </w:rPr>
        <w:t xml:space="preserve"> 2007). </w:t>
      </w:r>
      <w:r w:rsidR="00F777D5">
        <w:rPr>
          <w:rFonts w:eastAsia="Times New Roman"/>
        </w:rPr>
        <w:t xml:space="preserve">A </w:t>
      </w:r>
      <w:r w:rsidR="00DF60EF" w:rsidRPr="00DF60EF">
        <w:rPr>
          <w:rFonts w:eastAsia="Times New Roman"/>
        </w:rPr>
        <w:t>PCV covering disease strains prevalent in developed countries already existed</w:t>
      </w:r>
      <w:r w:rsidR="00F777D5">
        <w:rPr>
          <w:rFonts w:eastAsia="Times New Roman"/>
        </w:rPr>
        <w:t>,</w:t>
      </w:r>
      <w:r w:rsidR="00DF60EF" w:rsidRPr="00DF60EF">
        <w:rPr>
          <w:rFonts w:eastAsia="Times New Roman"/>
        </w:rPr>
        <w:t xml:space="preserve"> and </w:t>
      </w:r>
      <w:r w:rsidR="00F777D5">
        <w:rPr>
          <w:rFonts w:eastAsia="Times New Roman"/>
        </w:rPr>
        <w:t>PCVs</w:t>
      </w:r>
      <w:r w:rsidR="00DF60EF" w:rsidRPr="00DF60EF">
        <w:rPr>
          <w:rFonts w:eastAsia="Times New Roman"/>
        </w:rPr>
        <w:t xml:space="preserve"> covering the strains in developing countries were in late-stage clinical trials</w:t>
      </w:r>
      <w:r w:rsidR="00F777D5">
        <w:rPr>
          <w:rFonts w:eastAsia="Times New Roman"/>
        </w:rPr>
        <w:t>;</w:t>
      </w:r>
      <w:r w:rsidR="00DF60EF" w:rsidRPr="00DF60EF">
        <w:rPr>
          <w:rFonts w:eastAsia="Times New Roman"/>
        </w:rPr>
        <w:t xml:space="preserve"> </w:t>
      </w:r>
      <w:proofErr w:type="gramStart"/>
      <w:r w:rsidR="00DF60EF" w:rsidRPr="00DF60EF">
        <w:rPr>
          <w:rFonts w:eastAsia="Times New Roman"/>
        </w:rPr>
        <w:t>so</w:t>
      </w:r>
      <w:proofErr w:type="gramEnd"/>
      <w:r w:rsidR="00DF60EF" w:rsidRPr="00DF60EF">
        <w:rPr>
          <w:rFonts w:eastAsia="Times New Roman"/>
        </w:rPr>
        <w:t xml:space="preserve"> this was a technologically close target</w:t>
      </w:r>
      <w:r w:rsidR="006F4220">
        <w:rPr>
          <w:rFonts w:eastAsia="Times New Roman"/>
        </w:rPr>
        <w:t>.</w:t>
      </w:r>
    </w:p>
    <w:p w14:paraId="2B7766C4" w14:textId="4CE2BF43" w:rsidR="00E979C8" w:rsidRDefault="00F777D5" w:rsidP="009F4A94">
      <w:pPr>
        <w:rPr>
          <w:rFonts w:eastAsia="Times New Roman"/>
        </w:rPr>
      </w:pPr>
      <w:r>
        <w:rPr>
          <w:rFonts w:eastAsia="Times New Roman"/>
        </w:rPr>
        <w:t>In 2009, t</w:t>
      </w:r>
      <w:r w:rsidR="00225C5F" w:rsidRPr="00225C5F">
        <w:rPr>
          <w:rFonts w:eastAsia="Times New Roman"/>
        </w:rPr>
        <w:t>he</w:t>
      </w:r>
      <w:r w:rsidR="003365BE">
        <w:rPr>
          <w:rFonts w:eastAsia="Times New Roman"/>
        </w:rPr>
        <w:t xml:space="preserve"> AMC launched</w:t>
      </w:r>
      <w:r w:rsidR="00225C5F" w:rsidRPr="00225C5F">
        <w:rPr>
          <w:rFonts w:eastAsia="Times New Roman"/>
        </w:rPr>
        <w:t xml:space="preserve"> under </w:t>
      </w:r>
      <w:r w:rsidR="00BA70C4">
        <w:rPr>
          <w:rFonts w:eastAsia="Times New Roman"/>
        </w:rPr>
        <w:t xml:space="preserve">the supervision of </w:t>
      </w:r>
      <w:r w:rsidR="00225C5F" w:rsidRPr="00225C5F">
        <w:rPr>
          <w:rFonts w:eastAsia="Times New Roman"/>
        </w:rPr>
        <w:t>GAVI</w:t>
      </w:r>
      <w:r w:rsidR="00BA70C4">
        <w:rPr>
          <w:rFonts w:eastAsia="Times New Roman"/>
        </w:rPr>
        <w:t xml:space="preserve"> (formerly the Global Alliance for Vaccines and Immunizations)</w:t>
      </w:r>
      <w:r w:rsidR="00603176">
        <w:rPr>
          <w:rFonts w:eastAsia="Times New Roman"/>
        </w:rPr>
        <w:t xml:space="preserve">. </w:t>
      </w:r>
      <w:r w:rsidR="00225C5F" w:rsidRPr="00225C5F">
        <w:rPr>
          <w:rFonts w:eastAsia="Times New Roman"/>
        </w:rPr>
        <w:t xml:space="preserve">The design called for firms to compete for </w:t>
      </w:r>
      <w:r w:rsidR="00552889">
        <w:rPr>
          <w:rFonts w:eastAsia="Times New Roman"/>
        </w:rPr>
        <w:t>ten</w:t>
      </w:r>
      <w:r w:rsidR="00225C5F" w:rsidRPr="00225C5F">
        <w:rPr>
          <w:rFonts w:eastAsia="Times New Roman"/>
        </w:rPr>
        <w:t>-year supply contracts</w:t>
      </w:r>
      <w:r w:rsidR="00BA70C4">
        <w:rPr>
          <w:rFonts w:eastAsia="Times New Roman"/>
        </w:rPr>
        <w:t xml:space="preserve"> capping price at </w:t>
      </w:r>
      <w:r w:rsidR="00225C5F" w:rsidRPr="00225C5F">
        <w:rPr>
          <w:rFonts w:eastAsia="Times New Roman"/>
        </w:rPr>
        <w:t xml:space="preserve">$3.50 per dose. </w:t>
      </w:r>
      <w:r w:rsidR="00285581">
        <w:rPr>
          <w:rFonts w:eastAsia="Times New Roman"/>
        </w:rPr>
        <w:t>A</w:t>
      </w:r>
      <w:r w:rsidR="00225C5F" w:rsidRPr="00225C5F">
        <w:rPr>
          <w:rFonts w:eastAsia="Times New Roman"/>
        </w:rPr>
        <w:t xml:space="preserve"> firm </w:t>
      </w:r>
      <w:r w:rsidR="00552889">
        <w:rPr>
          <w:rFonts w:eastAsia="Times New Roman"/>
        </w:rPr>
        <w:t>committing</w:t>
      </w:r>
      <w:r w:rsidR="00225C5F" w:rsidRPr="00225C5F">
        <w:rPr>
          <w:rFonts w:eastAsia="Times New Roman"/>
        </w:rPr>
        <w:t xml:space="preserve"> to supply</w:t>
      </w:r>
      <w:r w:rsidR="00933282">
        <w:rPr>
          <w:rFonts w:eastAsia="Times New Roman"/>
        </w:rPr>
        <w:t xml:space="preserve"> </w:t>
      </w:r>
      <m:oMath>
        <m:r>
          <w:rPr>
            <w:rFonts w:ascii="Cambria Math" w:eastAsia="Times New Roman" w:hAnsi="Cambria Math"/>
          </w:rPr>
          <m:t>X</m:t>
        </m:r>
      </m:oMath>
      <w:r w:rsidR="00933282">
        <w:rPr>
          <w:rFonts w:eastAsia="Times New Roman"/>
        </w:rPr>
        <w:t xml:space="preserve"> </w:t>
      </w:r>
      <w:r w:rsidR="00225C5F" w:rsidRPr="00225C5F">
        <w:rPr>
          <w:rFonts w:eastAsia="Times New Roman"/>
        </w:rPr>
        <w:t>million annual doses</w:t>
      </w:r>
      <w:r w:rsidR="00285581">
        <w:rPr>
          <w:rFonts w:eastAsia="Times New Roman"/>
        </w:rPr>
        <w:t xml:space="preserve"> (</w:t>
      </w:r>
      <m:oMath>
        <m:r>
          <w:rPr>
            <w:rFonts w:ascii="Cambria Math" w:eastAsia="Times New Roman" w:hAnsi="Cambria Math"/>
          </w:rPr>
          <m:t>X/200</m:t>
        </m:r>
      </m:oMath>
      <w:r w:rsidR="00933282">
        <w:rPr>
          <w:rFonts w:eastAsia="Times New Roman"/>
        </w:rPr>
        <w:t xml:space="preserve"> </w:t>
      </w:r>
      <w:r w:rsidR="00285581">
        <w:rPr>
          <w:rFonts w:eastAsia="Times New Roman"/>
        </w:rPr>
        <w:t xml:space="preserve">of the </w:t>
      </w:r>
      <w:r w:rsidR="00695B45">
        <w:rPr>
          <w:rFonts w:eastAsia="Times New Roman"/>
        </w:rPr>
        <w:t xml:space="preserve">projected </w:t>
      </w:r>
      <w:r w:rsidR="00285581">
        <w:rPr>
          <w:rFonts w:eastAsia="Times New Roman"/>
        </w:rPr>
        <w:t xml:space="preserve">200 million annual need) </w:t>
      </w:r>
      <w:r w:rsidR="00225C5F" w:rsidRPr="00225C5F">
        <w:rPr>
          <w:rFonts w:eastAsia="Times New Roman"/>
        </w:rPr>
        <w:t>would secure</w:t>
      </w:r>
      <w:r>
        <w:rPr>
          <w:rFonts w:eastAsia="Times New Roman"/>
        </w:rPr>
        <w:t xml:space="preserve"> a</w:t>
      </w:r>
      <w:r w:rsidR="00634041">
        <w:rPr>
          <w:rFonts w:eastAsia="Times New Roman"/>
        </w:rPr>
        <w:t>n</w:t>
      </w:r>
      <w:r w:rsidR="00225C5F" w:rsidRPr="00225C5F">
        <w:rPr>
          <w:rFonts w:eastAsia="Times New Roman"/>
        </w:rPr>
        <w:t xml:space="preserve"> </w:t>
      </w:r>
      <m:oMath>
        <m:r>
          <w:rPr>
            <w:rFonts w:ascii="Cambria Math" w:eastAsia="Times New Roman" w:hAnsi="Cambria Math"/>
          </w:rPr>
          <m:t>X/200</m:t>
        </m:r>
      </m:oMath>
      <w:r w:rsidR="00225C5F" w:rsidRPr="00225C5F">
        <w:rPr>
          <w:rFonts w:eastAsia="Times New Roman"/>
        </w:rPr>
        <w:t xml:space="preserve"> </w:t>
      </w:r>
      <w:r>
        <w:rPr>
          <w:rFonts w:eastAsia="Times New Roman"/>
        </w:rPr>
        <w:t xml:space="preserve">share </w:t>
      </w:r>
      <w:r w:rsidR="00225C5F" w:rsidRPr="00225C5F">
        <w:rPr>
          <w:rFonts w:eastAsia="Times New Roman"/>
        </w:rPr>
        <w:t>of the $1.5 billion AMC fund</w:t>
      </w:r>
      <w:r w:rsidR="00E53936">
        <w:rPr>
          <w:rFonts w:eastAsia="Times New Roman"/>
        </w:rPr>
        <w:t xml:space="preserve">, </w:t>
      </w:r>
      <w:r w:rsidR="00225C5F" w:rsidRPr="00225C5F">
        <w:rPr>
          <w:rFonts w:eastAsia="Times New Roman"/>
        </w:rPr>
        <w:t xml:space="preserve">paid out as </w:t>
      </w:r>
      <w:r w:rsidR="00BA70C4">
        <w:rPr>
          <w:rFonts w:eastAsia="Times New Roman"/>
        </w:rPr>
        <w:t xml:space="preserve">a per-dose subsidy for </w:t>
      </w:r>
      <w:r w:rsidR="00225C5F" w:rsidRPr="00225C5F">
        <w:rPr>
          <w:rFonts w:eastAsia="Times New Roman"/>
        </w:rPr>
        <w:t>initial purchases.</w:t>
      </w:r>
      <w:r w:rsidR="009F4A94">
        <w:rPr>
          <w:rFonts w:eastAsia="Times New Roman"/>
        </w:rPr>
        <w:t xml:space="preserve"> </w:t>
      </w:r>
      <w:r w:rsidR="00EB27E7" w:rsidRPr="00EB27E7">
        <w:rPr>
          <w:rFonts w:eastAsia="Times New Roman"/>
        </w:rPr>
        <w:t xml:space="preserve">The AMC </w:t>
      </w:r>
      <w:r w:rsidR="00285581">
        <w:rPr>
          <w:rFonts w:eastAsia="Times New Roman"/>
        </w:rPr>
        <w:t>covered the</w:t>
      </w:r>
      <w:r w:rsidR="00285581" w:rsidRPr="00EB27E7">
        <w:rPr>
          <w:rFonts w:eastAsia="Times New Roman"/>
        </w:rPr>
        <w:t xml:space="preserve"> </w:t>
      </w:r>
      <w:r w:rsidR="00EB27E7" w:rsidRPr="00EB27E7">
        <w:rPr>
          <w:rFonts w:eastAsia="Times New Roman"/>
        </w:rPr>
        <w:t xml:space="preserve">73 </w:t>
      </w:r>
      <w:r w:rsidR="004C0E49">
        <w:rPr>
          <w:rFonts w:eastAsia="Times New Roman"/>
        </w:rPr>
        <w:t xml:space="preserve">countries below </w:t>
      </w:r>
      <w:r w:rsidR="00695B45">
        <w:rPr>
          <w:rFonts w:eastAsia="Times New Roman"/>
        </w:rPr>
        <w:t xml:space="preserve">an </w:t>
      </w:r>
      <w:r w:rsidR="004C0E49">
        <w:rPr>
          <w:rFonts w:eastAsia="Times New Roman"/>
        </w:rPr>
        <w:t xml:space="preserve">income threshold </w:t>
      </w:r>
      <w:r w:rsidR="00741306">
        <w:rPr>
          <w:rFonts w:eastAsia="Times New Roman"/>
        </w:rPr>
        <w:t>for GAVI eligibility</w:t>
      </w:r>
      <w:r w:rsidR="00695B45">
        <w:rPr>
          <w:rFonts w:eastAsia="Times New Roman"/>
        </w:rPr>
        <w:t xml:space="preserve">. </w:t>
      </w:r>
      <w:r w:rsidR="009518A7">
        <w:rPr>
          <w:rFonts w:eastAsia="Times New Roman"/>
        </w:rPr>
        <w:t xml:space="preserve">Country co-payments were set according to standard GAVI rules.  Countries were required to have 70% coverage with DPT vaccine to obtain pneumococcus vaccine under the program.  </w:t>
      </w:r>
    </w:p>
    <w:p w14:paraId="104F73D8" w14:textId="57182159" w:rsidR="00BA18CF" w:rsidRPr="00EB27E7" w:rsidRDefault="00C32CB8" w:rsidP="004F2809">
      <w:pPr>
        <w:rPr>
          <w:rFonts w:eastAsia="Times New Roman"/>
        </w:rPr>
      </w:pPr>
      <w:r>
        <w:rPr>
          <w:rFonts w:eastAsia="Times New Roman"/>
        </w:rPr>
        <w:t xml:space="preserve">In 2010, </w:t>
      </w:r>
      <w:r w:rsidR="00E41848">
        <w:rPr>
          <w:rFonts w:eastAsia="Times New Roman"/>
        </w:rPr>
        <w:t>GAVI set the first tender</w:t>
      </w:r>
      <w:r>
        <w:rPr>
          <w:rFonts w:eastAsia="Times New Roman"/>
        </w:rPr>
        <w:t xml:space="preserve"> </w:t>
      </w:r>
      <w:r w:rsidR="00E41848">
        <w:rPr>
          <w:rFonts w:eastAsia="Times New Roman"/>
        </w:rPr>
        <w:t>for 60 million doses</w:t>
      </w:r>
      <w:r>
        <w:rPr>
          <w:rFonts w:eastAsia="Times New Roman"/>
        </w:rPr>
        <w:t>. G</w:t>
      </w:r>
      <w:r w:rsidR="00EB27E7" w:rsidRPr="00EB27E7">
        <w:rPr>
          <w:rFonts w:eastAsia="Times New Roman"/>
        </w:rPr>
        <w:t>SK and Pfizer</w:t>
      </w:r>
      <w:r>
        <w:rPr>
          <w:rFonts w:eastAsia="Times New Roman"/>
        </w:rPr>
        <w:t xml:space="preserve"> each committed </w:t>
      </w:r>
      <w:r w:rsidR="00EB27E7" w:rsidRPr="00EB27E7">
        <w:rPr>
          <w:rFonts w:eastAsia="Times New Roman"/>
        </w:rPr>
        <w:t xml:space="preserve">to supply </w:t>
      </w:r>
      <w:r w:rsidR="00741306">
        <w:rPr>
          <w:rFonts w:eastAsia="Times New Roman"/>
        </w:rPr>
        <w:t xml:space="preserve">30 </w:t>
      </w:r>
      <w:r w:rsidR="00EB27E7" w:rsidRPr="00EB27E7">
        <w:rPr>
          <w:rFonts w:eastAsia="Times New Roman"/>
        </w:rPr>
        <w:t>million doses annually</w:t>
      </w:r>
      <w:r w:rsidR="00741306">
        <w:rPr>
          <w:rFonts w:eastAsia="Times New Roman"/>
        </w:rPr>
        <w:t>,</w:t>
      </w:r>
      <w:r w:rsidR="00EB27E7" w:rsidRPr="00EB27E7">
        <w:rPr>
          <w:rFonts w:eastAsia="Times New Roman"/>
        </w:rPr>
        <w:t xml:space="preserve"> at $3.50 per dose, or $10.50 for a three-dose course</w:t>
      </w:r>
      <w:r w:rsidR="001D7F2C">
        <w:rPr>
          <w:rFonts w:eastAsia="Times New Roman"/>
        </w:rPr>
        <w:t xml:space="preserve"> (these and subsequent facts from GAVI (2019))</w:t>
      </w:r>
      <w:r w:rsidR="008E3DB8">
        <w:rPr>
          <w:rFonts w:eastAsia="Times New Roman"/>
        </w:rPr>
        <w:t xml:space="preserve">. </w:t>
      </w:r>
      <w:r w:rsidR="007040A0">
        <w:rPr>
          <w:rFonts w:eastAsia="Times New Roman"/>
        </w:rPr>
        <w:t xml:space="preserve">GAVI issued subsequent tenders over time, </w:t>
      </w:r>
      <w:r>
        <w:rPr>
          <w:rFonts w:eastAsia="Times New Roman"/>
        </w:rPr>
        <w:t xml:space="preserve">sometimes outpaced by </w:t>
      </w:r>
      <w:r w:rsidR="007040A0">
        <w:rPr>
          <w:rFonts w:eastAsia="Times New Roman"/>
        </w:rPr>
        <w:t>country demand</w:t>
      </w:r>
      <w:r w:rsidR="00877C8E">
        <w:rPr>
          <w:rFonts w:eastAsia="Times New Roman"/>
        </w:rPr>
        <w:t>.</w:t>
      </w:r>
      <w:r>
        <w:rPr>
          <w:rFonts w:eastAsia="Times New Roman"/>
        </w:rPr>
        <w:t xml:space="preserve"> </w:t>
      </w:r>
      <w:r w:rsidR="00877C8E">
        <w:rPr>
          <w:rFonts w:eastAsia="Times New Roman"/>
        </w:rPr>
        <w:t>I</w:t>
      </w:r>
      <w:r w:rsidR="007040A0">
        <w:rPr>
          <w:rFonts w:eastAsia="Times New Roman"/>
        </w:rPr>
        <w:t>n each case</w:t>
      </w:r>
      <w:r w:rsidR="001D6180">
        <w:rPr>
          <w:rFonts w:eastAsia="Times New Roman"/>
        </w:rPr>
        <w:t>,</w:t>
      </w:r>
      <w:r w:rsidR="007040A0">
        <w:rPr>
          <w:rFonts w:eastAsia="Times New Roman"/>
        </w:rPr>
        <w:t xml:space="preserve"> t</w:t>
      </w:r>
      <w:r w:rsidR="006F4220">
        <w:rPr>
          <w:rFonts w:eastAsia="Times New Roman"/>
        </w:rPr>
        <w:t>he</w:t>
      </w:r>
      <w:r w:rsidR="00EB27E7" w:rsidRPr="00EB27E7">
        <w:rPr>
          <w:rFonts w:eastAsia="Times New Roman"/>
        </w:rPr>
        <w:t xml:space="preserve"> firms</w:t>
      </w:r>
      <w:r w:rsidR="00FC3A4F">
        <w:rPr>
          <w:rFonts w:eastAsia="Times New Roman"/>
        </w:rPr>
        <w:t xml:space="preserve"> expanded</w:t>
      </w:r>
      <w:r w:rsidR="00EB27E7" w:rsidRPr="00EB27E7">
        <w:rPr>
          <w:rFonts w:eastAsia="Times New Roman"/>
        </w:rPr>
        <w:t xml:space="preserve"> </w:t>
      </w:r>
      <w:r w:rsidR="00FC3A4F">
        <w:rPr>
          <w:rFonts w:eastAsia="Times New Roman"/>
        </w:rPr>
        <w:t xml:space="preserve">their supply </w:t>
      </w:r>
      <w:r w:rsidR="00EB27E7" w:rsidRPr="00EB27E7">
        <w:rPr>
          <w:rFonts w:eastAsia="Times New Roman"/>
        </w:rPr>
        <w:t>commitments</w:t>
      </w:r>
      <w:r w:rsidR="003E5C12">
        <w:rPr>
          <w:rFonts w:eastAsia="Times New Roman"/>
        </w:rPr>
        <w:t xml:space="preserve"> </w:t>
      </w:r>
      <w:r w:rsidR="002719C7">
        <w:rPr>
          <w:rFonts w:eastAsia="Times New Roman"/>
        </w:rPr>
        <w:t>in line with the tenders.</w:t>
      </w:r>
      <w:r w:rsidR="00EB27E7" w:rsidRPr="00EB27E7">
        <w:rPr>
          <w:rFonts w:eastAsia="Times New Roman"/>
        </w:rPr>
        <w:t xml:space="preserve"> </w:t>
      </w:r>
      <w:r w:rsidR="001D6180">
        <w:rPr>
          <w:rFonts w:eastAsia="Times New Roman"/>
        </w:rPr>
        <w:t>There has been</w:t>
      </w:r>
      <w:r w:rsidR="00552889">
        <w:rPr>
          <w:rFonts w:eastAsia="Times New Roman"/>
        </w:rPr>
        <w:t xml:space="preserve"> purchaser</w:t>
      </w:r>
      <w:r w:rsidR="001D6180">
        <w:rPr>
          <w:rFonts w:eastAsia="Times New Roman"/>
        </w:rPr>
        <w:t xml:space="preserve"> and public</w:t>
      </w:r>
      <w:r w:rsidR="00552889">
        <w:rPr>
          <w:rFonts w:eastAsia="Times New Roman"/>
        </w:rPr>
        <w:t xml:space="preserve"> pressure</w:t>
      </w:r>
      <w:r w:rsidR="001D6180">
        <w:rPr>
          <w:rFonts w:eastAsia="Times New Roman"/>
        </w:rPr>
        <w:t xml:space="preserve"> for</w:t>
      </w:r>
      <w:r w:rsidR="00552889">
        <w:rPr>
          <w:rFonts w:eastAsia="Times New Roman"/>
        </w:rPr>
        <w:t xml:space="preserve"> the manufacturers </w:t>
      </w:r>
      <w:r w:rsidR="001D6180">
        <w:rPr>
          <w:rFonts w:eastAsia="Times New Roman"/>
        </w:rPr>
        <w:t xml:space="preserve">to </w:t>
      </w:r>
      <w:r w:rsidR="00552889">
        <w:rPr>
          <w:rFonts w:eastAsia="Times New Roman"/>
        </w:rPr>
        <w:t xml:space="preserve">reduce </w:t>
      </w:r>
      <w:r w:rsidR="001D6180">
        <w:rPr>
          <w:rFonts w:eastAsia="Times New Roman"/>
        </w:rPr>
        <w:t xml:space="preserve">their </w:t>
      </w:r>
      <w:r w:rsidR="00552889">
        <w:rPr>
          <w:rFonts w:eastAsia="Times New Roman"/>
        </w:rPr>
        <w:t>prices</w:t>
      </w:r>
      <w:r w:rsidR="001D6180">
        <w:rPr>
          <w:rFonts w:eastAsia="Times New Roman"/>
        </w:rPr>
        <w:t xml:space="preserve">, which </w:t>
      </w:r>
      <w:r w:rsidR="008854B8">
        <w:rPr>
          <w:rFonts w:eastAsia="Times New Roman"/>
        </w:rPr>
        <w:t>currently are down</w:t>
      </w:r>
      <w:r w:rsidR="00552889">
        <w:rPr>
          <w:rFonts w:eastAsia="Times New Roman"/>
        </w:rPr>
        <w:t xml:space="preserve"> to </w:t>
      </w:r>
      <w:r w:rsidR="00552889" w:rsidRPr="00EB27E7">
        <w:rPr>
          <w:rFonts w:eastAsia="Times New Roman"/>
        </w:rPr>
        <w:t>$2.90 per dose</w:t>
      </w:r>
      <w:r w:rsidR="004F2809">
        <w:rPr>
          <w:rFonts w:eastAsia="Times New Roman"/>
        </w:rPr>
        <w:t xml:space="preserve">. </w:t>
      </w:r>
      <w:r w:rsidR="00BA18CF">
        <w:rPr>
          <w:rFonts w:eastAsia="Times New Roman"/>
        </w:rPr>
        <w:t xml:space="preserve">In </w:t>
      </w:r>
      <w:r w:rsidR="00BA18CF" w:rsidRPr="00EB27E7">
        <w:rPr>
          <w:rFonts w:eastAsia="Times New Roman"/>
        </w:rPr>
        <w:t xml:space="preserve">2019, a third vaccine developed by the Serum Institute of India </w:t>
      </w:r>
      <w:r w:rsidR="00BA18CF">
        <w:rPr>
          <w:rFonts w:eastAsia="Times New Roman"/>
        </w:rPr>
        <w:t>qualified</w:t>
      </w:r>
      <w:r w:rsidR="008854B8">
        <w:rPr>
          <w:rFonts w:eastAsia="Times New Roman"/>
        </w:rPr>
        <w:t xml:space="preserve"> for</w:t>
      </w:r>
      <w:r w:rsidR="00BA18CF">
        <w:rPr>
          <w:rFonts w:eastAsia="Times New Roman"/>
        </w:rPr>
        <w:t xml:space="preserve"> the AMC program. </w:t>
      </w:r>
      <w:r w:rsidR="008854B8">
        <w:rPr>
          <w:rFonts w:eastAsia="Times New Roman"/>
        </w:rPr>
        <w:t>Serum Institute</w:t>
      </w:r>
      <w:r w:rsidR="00BA18CF" w:rsidRPr="00EB27E7">
        <w:rPr>
          <w:rFonts w:eastAsia="Times New Roman"/>
        </w:rPr>
        <w:t xml:space="preserve"> is expected to participate in tenders for the </w:t>
      </w:r>
      <w:r w:rsidR="005933D1">
        <w:rPr>
          <w:rFonts w:eastAsia="Times New Roman"/>
        </w:rPr>
        <w:t xml:space="preserve">remaining $262 million of </w:t>
      </w:r>
      <w:r w:rsidR="00BA18CF">
        <w:rPr>
          <w:rFonts w:eastAsia="Times New Roman"/>
        </w:rPr>
        <w:t xml:space="preserve">uncommitted </w:t>
      </w:r>
      <w:r w:rsidR="00BA18CF" w:rsidRPr="00EB27E7">
        <w:rPr>
          <w:rFonts w:eastAsia="Times New Roman"/>
        </w:rPr>
        <w:t>AMC funds</w:t>
      </w:r>
      <w:r w:rsidR="00BA18CF">
        <w:rPr>
          <w:rFonts w:eastAsia="Times New Roman"/>
        </w:rPr>
        <w:t>, reportedly pricing its vaccine</w:t>
      </w:r>
      <w:r w:rsidR="00BA18CF" w:rsidRPr="00EB27E7">
        <w:rPr>
          <w:rFonts w:eastAsia="Times New Roman"/>
        </w:rPr>
        <w:t xml:space="preserve"> a</w:t>
      </w:r>
      <w:r w:rsidR="001D6180">
        <w:rPr>
          <w:rFonts w:eastAsia="Times New Roman"/>
        </w:rPr>
        <w:t>t</w:t>
      </w:r>
      <w:r w:rsidR="00BA18CF" w:rsidRPr="00EB27E7">
        <w:rPr>
          <w:rFonts w:eastAsia="Times New Roman"/>
        </w:rPr>
        <w:t xml:space="preserve"> $2 per dose for low-income countries.</w:t>
      </w:r>
    </w:p>
    <w:p w14:paraId="088310DB" w14:textId="77777777" w:rsidR="00BC0C41" w:rsidRDefault="008629E5" w:rsidP="00BC0C41">
      <w:pPr>
        <w:widowControl w:val="0"/>
        <w:rPr>
          <w:rFonts w:eastAsia="Times New Roman"/>
        </w:rPr>
      </w:pPr>
      <w:r>
        <w:rPr>
          <w:rFonts w:eastAsia="Times New Roman"/>
        </w:rPr>
        <w:t>By 2016, PCV was distributed in 60 of the 73 eligible countries</w:t>
      </w:r>
      <w:r w:rsidR="00952988">
        <w:rPr>
          <w:rFonts w:eastAsia="Times New Roman"/>
        </w:rPr>
        <w:t>, and a</w:t>
      </w:r>
      <w:r w:rsidR="00EB27E7" w:rsidRPr="00EB27E7">
        <w:rPr>
          <w:rFonts w:eastAsia="Times New Roman"/>
        </w:rPr>
        <w:t xml:space="preserve">nnual distribution </w:t>
      </w:r>
      <w:r w:rsidR="004A2CF8">
        <w:rPr>
          <w:rFonts w:eastAsia="Times New Roman"/>
        </w:rPr>
        <w:t xml:space="preserve">exceeded </w:t>
      </w:r>
      <w:r w:rsidR="00EB27E7" w:rsidRPr="00EB27E7">
        <w:rPr>
          <w:rFonts w:eastAsia="Times New Roman"/>
        </w:rPr>
        <w:t>1</w:t>
      </w:r>
      <w:r>
        <w:rPr>
          <w:rFonts w:eastAsia="Times New Roman"/>
        </w:rPr>
        <w:t xml:space="preserve">60 </w:t>
      </w:r>
      <w:r w:rsidR="00EB27E7" w:rsidRPr="00EB27E7">
        <w:rPr>
          <w:rFonts w:eastAsia="Times New Roman"/>
        </w:rPr>
        <w:t>million doses</w:t>
      </w:r>
      <w:r w:rsidR="00877C8E">
        <w:rPr>
          <w:rFonts w:eastAsia="Times New Roman"/>
        </w:rPr>
        <w:t xml:space="preserve">, enough </w:t>
      </w:r>
      <w:r w:rsidR="00952988">
        <w:rPr>
          <w:rFonts w:eastAsia="Times New Roman"/>
        </w:rPr>
        <w:t xml:space="preserve">to immunize </w:t>
      </w:r>
      <w:r w:rsidR="00877C8E">
        <w:rPr>
          <w:rFonts w:eastAsia="Times New Roman"/>
        </w:rPr>
        <w:t>over 50 million children per year</w:t>
      </w:r>
      <w:r w:rsidR="00952988">
        <w:rPr>
          <w:rFonts w:eastAsia="Times New Roman"/>
        </w:rPr>
        <w:t>.</w:t>
      </w:r>
      <w:r w:rsidR="004A2CF8">
        <w:rPr>
          <w:rFonts w:eastAsia="Times New Roman"/>
        </w:rPr>
        <w:t xml:space="preserve"> </w:t>
      </w:r>
      <w:r>
        <w:rPr>
          <w:rFonts w:eastAsia="Times New Roman"/>
        </w:rPr>
        <w:t xml:space="preserve">As </w:t>
      </w:r>
      <w:r w:rsidR="00630012">
        <w:rPr>
          <w:rFonts w:eastAsia="Times New Roman"/>
        </w:rPr>
        <w:t xml:space="preserve">Figure 1 in the </w:t>
      </w:r>
      <w:r>
        <w:rPr>
          <w:rFonts w:eastAsia="Times New Roman"/>
        </w:rPr>
        <w:t>Online Appendix</w:t>
      </w:r>
      <w:r w:rsidR="00630012">
        <w:rPr>
          <w:rFonts w:eastAsia="Times New Roman"/>
        </w:rPr>
        <w:t xml:space="preserve"> shows</w:t>
      </w:r>
      <w:r>
        <w:rPr>
          <w:rFonts w:eastAsia="Times New Roman"/>
        </w:rPr>
        <w:t xml:space="preserve">, </w:t>
      </w:r>
      <w:r w:rsidR="004A2CF8">
        <w:rPr>
          <w:rFonts w:eastAsia="Times New Roman"/>
        </w:rPr>
        <w:t xml:space="preserve">by 2018, </w:t>
      </w:r>
      <w:r w:rsidR="0079758E">
        <w:rPr>
          <w:rFonts w:eastAsia="Times New Roman"/>
        </w:rPr>
        <w:t xml:space="preserve">nearly </w:t>
      </w:r>
      <w:r w:rsidR="008924B6">
        <w:rPr>
          <w:rFonts w:eastAsia="Times New Roman"/>
        </w:rPr>
        <w:t xml:space="preserve">half of </w:t>
      </w:r>
      <w:r>
        <w:rPr>
          <w:rFonts w:eastAsia="Times New Roman"/>
        </w:rPr>
        <w:t xml:space="preserve">the target child population </w:t>
      </w:r>
      <w:r w:rsidR="004A2CF8">
        <w:rPr>
          <w:rFonts w:eastAsia="Times New Roman"/>
        </w:rPr>
        <w:t>in GAVI countries</w:t>
      </w:r>
      <w:r w:rsidR="008924B6">
        <w:rPr>
          <w:rFonts w:eastAsia="Times New Roman"/>
        </w:rPr>
        <w:t xml:space="preserve"> was covered</w:t>
      </w:r>
      <w:r w:rsidR="00051446">
        <w:rPr>
          <w:rFonts w:eastAsia="Times New Roman"/>
        </w:rPr>
        <w:t xml:space="preserve">. While </w:t>
      </w:r>
      <w:r w:rsidR="00952988">
        <w:rPr>
          <w:rFonts w:eastAsia="Times New Roman"/>
        </w:rPr>
        <w:t xml:space="preserve">coverage is </w:t>
      </w:r>
      <w:r w:rsidR="00051446">
        <w:rPr>
          <w:rFonts w:eastAsia="Times New Roman"/>
        </w:rPr>
        <w:t>far from full</w:t>
      </w:r>
      <w:r w:rsidR="00952988">
        <w:rPr>
          <w:rFonts w:eastAsia="Times New Roman"/>
        </w:rPr>
        <w:t xml:space="preserve">, </w:t>
      </w:r>
      <w:r w:rsidR="00051446">
        <w:rPr>
          <w:rFonts w:eastAsia="Times New Roman"/>
        </w:rPr>
        <w:t>it is higher than in non</w:t>
      </w:r>
      <w:r w:rsidR="00952988">
        <w:rPr>
          <w:rFonts w:eastAsia="Times New Roman"/>
        </w:rPr>
        <w:t xml:space="preserve">-GAVI countries. </w:t>
      </w:r>
      <w:r w:rsidR="007040A0">
        <w:rPr>
          <w:rFonts w:eastAsia="Times New Roman"/>
        </w:rPr>
        <w:t>A key reason why the fraction of the population covered is smaller than the fraction of countries covered is that</w:t>
      </w:r>
      <w:r w:rsidR="00D95092">
        <w:rPr>
          <w:rFonts w:eastAsia="Times New Roman"/>
        </w:rPr>
        <w:t xml:space="preserve"> </w:t>
      </w:r>
      <w:r w:rsidR="007040A0">
        <w:rPr>
          <w:rFonts w:eastAsia="Times New Roman"/>
        </w:rPr>
        <w:t xml:space="preserve">India, </w:t>
      </w:r>
      <w:r w:rsidR="00D95092">
        <w:rPr>
          <w:rFonts w:eastAsia="Times New Roman"/>
        </w:rPr>
        <w:t xml:space="preserve">by far the most populous </w:t>
      </w:r>
      <w:r w:rsidR="00952988">
        <w:rPr>
          <w:rFonts w:eastAsia="Times New Roman"/>
        </w:rPr>
        <w:t xml:space="preserve">GAVI </w:t>
      </w:r>
      <w:r w:rsidR="007040A0">
        <w:rPr>
          <w:rFonts w:eastAsia="Times New Roman"/>
        </w:rPr>
        <w:t>countr</w:t>
      </w:r>
      <w:r w:rsidR="00D95092">
        <w:rPr>
          <w:rFonts w:eastAsia="Times New Roman"/>
        </w:rPr>
        <w:t>y</w:t>
      </w:r>
      <w:r w:rsidR="007040A0">
        <w:rPr>
          <w:rFonts w:eastAsia="Times New Roman"/>
        </w:rPr>
        <w:t xml:space="preserve">, </w:t>
      </w:r>
      <w:r w:rsidR="00EB27E7" w:rsidRPr="00EB27E7">
        <w:rPr>
          <w:rFonts w:eastAsia="Times New Roman"/>
        </w:rPr>
        <w:lastRenderedPageBreak/>
        <w:t xml:space="preserve">did not adopt </w:t>
      </w:r>
      <w:r w:rsidR="004A2CF8">
        <w:rPr>
          <w:rFonts w:eastAsia="Times New Roman"/>
        </w:rPr>
        <w:t xml:space="preserve">PCV </w:t>
      </w:r>
      <w:r w:rsidR="00EB27E7" w:rsidRPr="00EB27E7">
        <w:rPr>
          <w:rFonts w:eastAsia="Times New Roman"/>
        </w:rPr>
        <w:t xml:space="preserve">until </w:t>
      </w:r>
      <w:r w:rsidR="00D976AC">
        <w:rPr>
          <w:rFonts w:eastAsia="Times New Roman"/>
        </w:rPr>
        <w:t>2017</w:t>
      </w:r>
      <w:r w:rsidR="00D976AC" w:rsidRPr="00EB27E7">
        <w:rPr>
          <w:rFonts w:eastAsia="Times New Roman"/>
        </w:rPr>
        <w:t xml:space="preserve"> </w:t>
      </w:r>
      <w:r w:rsidR="006B340F">
        <w:rPr>
          <w:rFonts w:eastAsia="Times New Roman"/>
        </w:rPr>
        <w:t xml:space="preserve">and currently </w:t>
      </w:r>
      <w:r w:rsidR="00EB27E7" w:rsidRPr="00EB27E7">
        <w:rPr>
          <w:rFonts w:eastAsia="Times New Roman"/>
        </w:rPr>
        <w:t xml:space="preserve">runs </w:t>
      </w:r>
      <w:r w:rsidR="006B340F">
        <w:rPr>
          <w:rFonts w:eastAsia="Times New Roman"/>
        </w:rPr>
        <w:t xml:space="preserve">only </w:t>
      </w:r>
      <w:r w:rsidR="00EB27E7" w:rsidRPr="00EB27E7">
        <w:rPr>
          <w:rFonts w:eastAsia="Times New Roman"/>
        </w:rPr>
        <w:t xml:space="preserve">a limited program in five </w:t>
      </w:r>
      <w:r w:rsidR="005D58FA">
        <w:rPr>
          <w:rFonts w:eastAsia="Times New Roman"/>
        </w:rPr>
        <w:t>states</w:t>
      </w:r>
      <w:r w:rsidR="00C7756A">
        <w:rPr>
          <w:rFonts w:eastAsia="Times New Roman"/>
        </w:rPr>
        <w:t>.</w:t>
      </w:r>
    </w:p>
    <w:p w14:paraId="4EF093F6" w14:textId="37D789C2" w:rsidR="00AF7339" w:rsidRDefault="007E017B" w:rsidP="00BC0C41">
      <w:pPr>
        <w:widowControl w:val="0"/>
        <w:rPr>
          <w:rFonts w:eastAsia="Times New Roman"/>
        </w:rPr>
      </w:pPr>
      <w:r>
        <w:rPr>
          <w:rFonts w:eastAsia="Times New Roman"/>
        </w:rPr>
        <w:t xml:space="preserve">Estimates from Tasslimi, et al. (2011) suggest that </w:t>
      </w:r>
      <w:r w:rsidR="00AF7339" w:rsidRPr="00EB27E7">
        <w:rPr>
          <w:rFonts w:eastAsia="Times New Roman"/>
        </w:rPr>
        <w:t xml:space="preserve">the </w:t>
      </w:r>
      <w:r w:rsidR="00AF7339">
        <w:rPr>
          <w:rFonts w:eastAsia="Times New Roman"/>
        </w:rPr>
        <w:t>PCV</w:t>
      </w:r>
      <w:r w:rsidR="00BC0C41">
        <w:rPr>
          <w:rFonts w:eastAsia="Times New Roman"/>
        </w:rPr>
        <w:t xml:space="preserve"> </w:t>
      </w:r>
      <w:r w:rsidR="00AF7339" w:rsidRPr="00EB27E7">
        <w:rPr>
          <w:rFonts w:eastAsia="Times New Roman"/>
        </w:rPr>
        <w:t xml:space="preserve">rollout </w:t>
      </w:r>
      <w:r w:rsidR="00AF7339">
        <w:rPr>
          <w:rFonts w:eastAsia="Times New Roman"/>
        </w:rPr>
        <w:t xml:space="preserve">has </w:t>
      </w:r>
      <w:r>
        <w:rPr>
          <w:rFonts w:eastAsia="Times New Roman"/>
        </w:rPr>
        <w:t>been highly cost effective</w:t>
      </w:r>
      <w:r w:rsidR="00AF7339" w:rsidRPr="00EB27E7">
        <w:rPr>
          <w:rFonts w:eastAsia="Times New Roman"/>
        </w:rPr>
        <w:t xml:space="preserve">. </w:t>
      </w:r>
      <w:r>
        <w:rPr>
          <w:rFonts w:eastAsia="Times New Roman"/>
        </w:rPr>
        <w:t xml:space="preserve">At initial program prices, the PCV rollout avoided the loss of a disability adjusted life year (DALY) at </w:t>
      </w:r>
      <w:r w:rsidR="00D40479">
        <w:rPr>
          <w:rFonts w:eastAsia="Times New Roman"/>
        </w:rPr>
        <w:t xml:space="preserve">cost </w:t>
      </w:r>
      <w:r w:rsidR="00BC0C41">
        <w:rPr>
          <w:rFonts w:eastAsia="Times New Roman"/>
        </w:rPr>
        <w:t xml:space="preserve">of only </w:t>
      </w:r>
      <w:r w:rsidR="00FC1E0A">
        <w:rPr>
          <w:rFonts w:eastAsia="Times New Roman"/>
        </w:rPr>
        <w:t>$</w:t>
      </w:r>
      <w:r w:rsidR="000B0EA4">
        <w:rPr>
          <w:rFonts w:eastAsia="Times New Roman"/>
        </w:rPr>
        <w:t>83</w:t>
      </w:r>
      <w:r w:rsidR="00157CAF">
        <w:rPr>
          <w:rFonts w:eastAsia="Times New Roman"/>
        </w:rPr>
        <w:t>.</w:t>
      </w:r>
      <w:r w:rsidR="000B0EA4">
        <w:rPr>
          <w:rFonts w:eastAsia="Times New Roman"/>
        </w:rPr>
        <w:t xml:space="preserve"> The WHO classifies interventions as highly cost effective if </w:t>
      </w:r>
      <w:r>
        <w:rPr>
          <w:rFonts w:eastAsia="Times New Roman"/>
        </w:rPr>
        <w:t xml:space="preserve">a DALY </w:t>
      </w:r>
      <w:r w:rsidR="000B0EA4">
        <w:rPr>
          <w:rFonts w:eastAsia="Times New Roman"/>
        </w:rPr>
        <w:t>cost</w:t>
      </w:r>
      <w:r>
        <w:rPr>
          <w:rFonts w:eastAsia="Times New Roman"/>
        </w:rPr>
        <w:t>s</w:t>
      </w:r>
      <w:r w:rsidR="000B0EA4">
        <w:rPr>
          <w:rFonts w:eastAsia="Times New Roman"/>
        </w:rPr>
        <w:t xml:space="preserve"> less than one GDP per capita.</w:t>
      </w:r>
      <w:r w:rsidR="00FC1E0A">
        <w:rPr>
          <w:rFonts w:eastAsia="Times New Roman"/>
        </w:rPr>
        <w:t xml:space="preserve"> </w:t>
      </w:r>
    </w:p>
    <w:p w14:paraId="62236474" w14:textId="587E0AA0" w:rsidR="00EC29E2" w:rsidRDefault="0099565A" w:rsidP="00E63787">
      <w:r>
        <w:t xml:space="preserve">Evidence on the cost effectiveness of </w:t>
      </w:r>
      <w:r w:rsidR="008670B3">
        <w:t xml:space="preserve">PCV </w:t>
      </w:r>
      <w:r>
        <w:t>does not prove</w:t>
      </w:r>
      <w:r w:rsidR="00E63787" w:rsidRPr="000B0EA4">
        <w:t xml:space="preserve"> the cost effectiveness of the </w:t>
      </w:r>
      <w:r>
        <w:t xml:space="preserve">overall </w:t>
      </w:r>
      <w:r w:rsidR="00E63787" w:rsidRPr="000B0EA4">
        <w:t xml:space="preserve">AMC because we </w:t>
      </w:r>
      <w:r w:rsidR="007E017B">
        <w:t xml:space="preserve">lack </w:t>
      </w:r>
      <w:r w:rsidR="00E63787" w:rsidRPr="000B0EA4">
        <w:t xml:space="preserve">a </w:t>
      </w:r>
      <w:r w:rsidR="007E017B">
        <w:t xml:space="preserve">valid </w:t>
      </w:r>
      <w:r w:rsidR="00E63787" w:rsidRPr="000B0EA4">
        <w:t>counterfactual.</w:t>
      </w:r>
      <w:r w:rsidR="00E63787">
        <w:t xml:space="preserve"> We</w:t>
      </w:r>
      <w:r w:rsidR="00E63787" w:rsidRPr="00F74590">
        <w:t xml:space="preserve"> </w:t>
      </w:r>
      <w:r w:rsidR="007E017B">
        <w:t xml:space="preserve">do not </w:t>
      </w:r>
      <w:r w:rsidR="00E63787" w:rsidRPr="00F74590">
        <w:t>know</w:t>
      </w:r>
      <w:r w:rsidR="00E63787">
        <w:t>,</w:t>
      </w:r>
      <w:r w:rsidR="00E63787" w:rsidRPr="00F74590">
        <w:t xml:space="preserve"> </w:t>
      </w:r>
      <w:r w:rsidR="00E63787">
        <w:t>absen</w:t>
      </w:r>
      <w:r>
        <w:t>t</w:t>
      </w:r>
      <w:r w:rsidR="00E63787">
        <w:t xml:space="preserve"> an</w:t>
      </w:r>
      <w:r w:rsidR="00E63787" w:rsidRPr="00F74590">
        <w:t xml:space="preserve"> AMC</w:t>
      </w:r>
      <w:r w:rsidR="00E63787">
        <w:t>,</w:t>
      </w:r>
      <w:r w:rsidR="00E63787" w:rsidRPr="00F74590">
        <w:t xml:space="preserve"> </w:t>
      </w:r>
      <w:r w:rsidR="007E017B">
        <w:t xml:space="preserve">whether and when </w:t>
      </w:r>
      <w:r w:rsidR="00E63787" w:rsidRPr="00F74590">
        <w:t>vaccines would have been developed</w:t>
      </w:r>
      <w:r>
        <w:t>,</w:t>
      </w:r>
      <w:r w:rsidR="00E63787" w:rsidRPr="00F74590">
        <w:t xml:space="preserve"> how much </w:t>
      </w:r>
      <w:r>
        <w:t xml:space="preserve">push funding </w:t>
      </w:r>
      <w:r w:rsidR="00E63787" w:rsidRPr="00F74590">
        <w:t>would have been spent</w:t>
      </w:r>
      <w:r>
        <w:t>,</w:t>
      </w:r>
      <w:r w:rsidR="00E63787" w:rsidRPr="00F74590">
        <w:t xml:space="preserve"> </w:t>
      </w:r>
      <w:r w:rsidR="007E017B">
        <w:t xml:space="preserve">or </w:t>
      </w:r>
      <w:r w:rsidR="00E63787" w:rsidRPr="00F74590">
        <w:t>what prices would have bee</w:t>
      </w:r>
      <w:r w:rsidR="007E017B">
        <w:t>n</w:t>
      </w:r>
      <w:r>
        <w:t xml:space="preserve"> set</w:t>
      </w:r>
      <w:r w:rsidR="00E63787">
        <w:t>. However,</w:t>
      </w:r>
      <w:r w:rsidR="00E63787" w:rsidRPr="00F74590">
        <w:t xml:space="preserve"> the high cost effectiveness of </w:t>
      </w:r>
      <w:r w:rsidR="007E017B">
        <w:t xml:space="preserve">PCV </w:t>
      </w:r>
      <w:r w:rsidR="00E63787" w:rsidRPr="00F74590">
        <w:t>impl</w:t>
      </w:r>
      <w:r w:rsidR="00E63787">
        <w:t>ies</w:t>
      </w:r>
      <w:r w:rsidR="00E63787" w:rsidRPr="00F74590">
        <w:t xml:space="preserve"> that the AMC would have been worthwhile </w:t>
      </w:r>
      <w:r>
        <w:t xml:space="preserve">were </w:t>
      </w:r>
      <w:r w:rsidR="00E63787" w:rsidRPr="00F74590">
        <w:t xml:space="preserve">there </w:t>
      </w:r>
      <w:r>
        <w:t xml:space="preserve">even </w:t>
      </w:r>
      <w:r w:rsidR="00E63787" w:rsidRPr="00F74590">
        <w:t xml:space="preserve">a small chance that it </w:t>
      </w:r>
      <w:r>
        <w:t>sped up PCV adoption</w:t>
      </w:r>
      <w:r w:rsidR="00E63787" w:rsidRPr="00F74590">
        <w:t>.</w:t>
      </w:r>
    </w:p>
    <w:p w14:paraId="3E4247C9" w14:textId="116CAFDE" w:rsidR="00667D8B" w:rsidRDefault="0099565A" w:rsidP="00667D8B">
      <w:pPr>
        <w:rPr>
          <w:rFonts w:eastAsia="Times New Roman"/>
        </w:rPr>
      </w:pPr>
      <w:r w:rsidRPr="00EB27E7">
        <w:rPr>
          <w:rFonts w:eastAsia="Times New Roman"/>
        </w:rPr>
        <w:t xml:space="preserve">Some insight </w:t>
      </w:r>
      <w:r w:rsidR="002F32D4">
        <w:rPr>
          <w:rFonts w:eastAsia="Times New Roman"/>
        </w:rPr>
        <w:t xml:space="preserve">on the effect of </w:t>
      </w:r>
      <w:r>
        <w:rPr>
          <w:rFonts w:eastAsia="Times New Roman"/>
        </w:rPr>
        <w:t xml:space="preserve">the AMC promoted capacity and adoption </w:t>
      </w:r>
      <w:r w:rsidRPr="00EB27E7">
        <w:rPr>
          <w:rFonts w:eastAsia="Times New Roman"/>
        </w:rPr>
        <w:t xml:space="preserve">can be gained </w:t>
      </w:r>
      <w:r>
        <w:rPr>
          <w:rFonts w:eastAsia="Times New Roman"/>
        </w:rPr>
        <w:t xml:space="preserve">by comparing PCV to </w:t>
      </w:r>
      <w:r w:rsidRPr="00EB27E7">
        <w:rPr>
          <w:rFonts w:eastAsia="Times New Roman"/>
        </w:rPr>
        <w:t xml:space="preserve">rotavirus vaccine, for which GAVI supported purchases over </w:t>
      </w:r>
      <w:r>
        <w:rPr>
          <w:rFonts w:eastAsia="Times New Roman"/>
        </w:rPr>
        <w:t xml:space="preserve">a similar </w:t>
      </w:r>
      <w:r w:rsidRPr="00EB27E7">
        <w:rPr>
          <w:rFonts w:eastAsia="Times New Roman"/>
        </w:rPr>
        <w:t>time period</w:t>
      </w:r>
      <w:r>
        <w:rPr>
          <w:rFonts w:eastAsia="Times New Roman"/>
        </w:rPr>
        <w:t xml:space="preserve"> </w:t>
      </w:r>
      <w:r w:rsidRPr="00EB27E7">
        <w:rPr>
          <w:rFonts w:eastAsia="Times New Roman"/>
        </w:rPr>
        <w:t xml:space="preserve">without an AMC. </w:t>
      </w:r>
      <w:r w:rsidR="00667D8B">
        <w:rPr>
          <w:rFonts w:eastAsia="Times New Roman"/>
        </w:rPr>
        <w:t>Figure 2 in the Online Appendix</w:t>
      </w:r>
      <w:r>
        <w:rPr>
          <w:rFonts w:eastAsia="Times New Roman"/>
        </w:rPr>
        <w:t xml:space="preserve"> shows</w:t>
      </w:r>
      <w:r w:rsidR="00667D8B">
        <w:rPr>
          <w:rFonts w:eastAsia="Times New Roman"/>
        </w:rPr>
        <w:t xml:space="preserve"> that the rate of </w:t>
      </w:r>
      <w:r w:rsidR="00667D8B" w:rsidRPr="00EB27E7">
        <w:rPr>
          <w:rFonts w:eastAsia="Times New Roman"/>
        </w:rPr>
        <w:t xml:space="preserve">vaccine coverage in GAVI countries </w:t>
      </w:r>
      <w:r w:rsidR="00667D8B">
        <w:rPr>
          <w:rFonts w:eastAsia="Times New Roman"/>
        </w:rPr>
        <w:t>converged to the global rate almost five years faster for PCV.</w:t>
      </w:r>
      <w:r w:rsidR="00667D8B" w:rsidRPr="00EB27E7">
        <w:rPr>
          <w:rFonts w:eastAsia="Times New Roman"/>
        </w:rPr>
        <w:t xml:space="preserve"> </w:t>
      </w:r>
      <w:r w:rsidR="00667D8B">
        <w:rPr>
          <w:rFonts w:eastAsia="Times New Roman"/>
        </w:rPr>
        <w:t xml:space="preserve">At the same time, shortages of rotavirus vaccine were more severe than of PCV, </w:t>
      </w:r>
      <w:r w:rsidR="00667D8B">
        <w:rPr>
          <w:rFonts w:eastAsia="Times New Roman"/>
        </w:rPr>
        <w:t>suggesting firms expanded</w:t>
      </w:r>
      <w:r w:rsidR="00BC0C41">
        <w:rPr>
          <w:rFonts w:eastAsia="Times New Roman"/>
        </w:rPr>
        <w:t xml:space="preserve"> </w:t>
      </w:r>
      <w:r w:rsidR="00667D8B">
        <w:rPr>
          <w:rFonts w:eastAsia="Times New Roman"/>
        </w:rPr>
        <w:t>capacity faster for PCV than rotavirus vaccine.</w:t>
      </w:r>
    </w:p>
    <w:p w14:paraId="3E8CFF3C" w14:textId="652D2EEC" w:rsidR="00D21F51" w:rsidRDefault="00BA18CF" w:rsidP="00D5122F">
      <w:pPr>
        <w:pStyle w:val="Heading1"/>
        <w:rPr>
          <w:i/>
          <w:iCs/>
        </w:rPr>
      </w:pPr>
      <w:r>
        <w:t xml:space="preserve"> </w:t>
      </w:r>
      <w:r w:rsidR="00D21F51" w:rsidRPr="00D21F51">
        <w:t>III.   Design Issues</w:t>
      </w:r>
    </w:p>
    <w:p w14:paraId="4CAD84FA" w14:textId="1D7F1D23" w:rsidR="00D21F51" w:rsidRPr="00D21F51" w:rsidRDefault="00E26A0A" w:rsidP="00490299">
      <w:pPr>
        <w:pStyle w:val="Heading2"/>
      </w:pPr>
      <w:r>
        <w:t>A</w:t>
      </w:r>
      <w:r w:rsidR="00490299">
        <w:t xml:space="preserve">. </w:t>
      </w:r>
      <w:r w:rsidR="00E050A5">
        <w:t xml:space="preserve">Country </w:t>
      </w:r>
      <w:r w:rsidR="000B5C6D">
        <w:t>C</w:t>
      </w:r>
      <w:r w:rsidR="00E050A5">
        <w:t>o</w:t>
      </w:r>
      <w:r w:rsidR="00013447">
        <w:t xml:space="preserve">payments, </w:t>
      </w:r>
      <w:r w:rsidR="000B5C6D">
        <w:t>P</w:t>
      </w:r>
      <w:r w:rsidR="00013447">
        <w:t>ricing</w:t>
      </w:r>
      <w:r w:rsidR="000B5C6D">
        <w:t>,</w:t>
      </w:r>
      <w:r w:rsidR="00013447">
        <w:t xml:space="preserve"> </w:t>
      </w:r>
      <w:r w:rsidR="000B5C6D">
        <w:t>C</w:t>
      </w:r>
      <w:r w:rsidR="00013447">
        <w:t>overage</w:t>
      </w:r>
      <w:r w:rsidR="00284EE0">
        <w:t xml:space="preserve"> </w:t>
      </w:r>
    </w:p>
    <w:p w14:paraId="0783B29F" w14:textId="487E1A9D" w:rsidR="00914640" w:rsidRDefault="00877C8E" w:rsidP="00914640">
      <w:r>
        <w:t xml:space="preserve">AMC designers do not know manufacturers’ reservation price for </w:t>
      </w:r>
      <w:r w:rsidR="004715D6">
        <w:t xml:space="preserve">installing adequate capacity to </w:t>
      </w:r>
      <w:r>
        <w:t>supply</w:t>
      </w:r>
      <w:r w:rsidR="004715D6">
        <w:t xml:space="preserve"> needed</w:t>
      </w:r>
      <w:r>
        <w:t xml:space="preserve"> vaccine</w:t>
      </w:r>
      <w:r w:rsidR="00F82C3A">
        <w:t>s</w:t>
      </w:r>
      <w:r>
        <w:t xml:space="preserve"> or countries’ willingness to provide copayments.  Because </w:t>
      </w:r>
      <w:r w:rsidR="00733D3B">
        <w:t>the benefits of vaccines far exceed their production costs, AMC designers</w:t>
      </w:r>
      <w:r w:rsidR="009E7A78">
        <w:t xml:space="preserve"> </w:t>
      </w:r>
      <w:r w:rsidR="00733D3B">
        <w:t xml:space="preserve">face an asymmetric loss function in setting </w:t>
      </w:r>
      <w:r w:rsidR="00914640">
        <w:t xml:space="preserve">firm prices and </w:t>
      </w:r>
      <w:r w:rsidR="00E26A0A">
        <w:t>country copayments</w:t>
      </w:r>
      <w:r w:rsidR="007040A0">
        <w:t>.</w:t>
      </w:r>
      <w:r w:rsidR="00EC36A6">
        <w:t xml:space="preserve"> </w:t>
      </w:r>
      <w:r w:rsidR="007040A0">
        <w:t>O</w:t>
      </w:r>
      <w:r w:rsidR="00EC36A6">
        <w:t>ffer</w:t>
      </w:r>
      <w:r w:rsidR="007040A0">
        <w:t>ing</w:t>
      </w:r>
      <w:r w:rsidR="00EC36A6">
        <w:t xml:space="preserve"> firms less</w:t>
      </w:r>
      <w:r w:rsidR="004715D6">
        <w:t xml:space="preserve"> </w:t>
      </w:r>
      <w:r w:rsidR="00EC36A6">
        <w:t>than their reservation value</w:t>
      </w:r>
      <w:r w:rsidR="007040A0">
        <w:t xml:space="preserve"> </w:t>
      </w:r>
      <w:r w:rsidR="00EC36A6">
        <w:t xml:space="preserve">or </w:t>
      </w:r>
      <w:r w:rsidR="007040A0">
        <w:t xml:space="preserve">asking </w:t>
      </w:r>
      <w:r w:rsidR="00733D3B">
        <w:t>countr</w:t>
      </w:r>
      <w:r w:rsidR="007040A0">
        <w:t>ies to make</w:t>
      </w:r>
      <w:r w:rsidR="00733D3B">
        <w:t xml:space="preserve"> copayments </w:t>
      </w:r>
      <w:r w:rsidR="007040A0">
        <w:t xml:space="preserve">greater than </w:t>
      </w:r>
      <w:r w:rsidR="00733D3B">
        <w:t>the</w:t>
      </w:r>
      <w:r w:rsidR="004715D6">
        <w:t>ir willingness to pay</w:t>
      </w:r>
      <w:r w:rsidR="00EC36A6">
        <w:t xml:space="preserve"> </w:t>
      </w:r>
      <w:r w:rsidR="00733D3B">
        <w:t xml:space="preserve">risks </w:t>
      </w:r>
      <w:r w:rsidR="00E26A0A">
        <w:t xml:space="preserve">children </w:t>
      </w:r>
      <w:r w:rsidR="00733D3B">
        <w:t xml:space="preserve">not </w:t>
      </w:r>
      <w:r w:rsidR="00F82C3A">
        <w:t xml:space="preserve">receiving </w:t>
      </w:r>
      <w:r w:rsidR="00733D3B">
        <w:t xml:space="preserve">lifesaving vaccines.  </w:t>
      </w:r>
      <w:r w:rsidR="001D6B07">
        <w:t>T</w:t>
      </w:r>
      <w:r w:rsidR="00733D3B">
        <w:t>his is very costly relative to</w:t>
      </w:r>
      <w:r w:rsidR="001D6B07">
        <w:t xml:space="preserve"> what </w:t>
      </w:r>
      <w:r w:rsidR="00914640">
        <w:t xml:space="preserve">the donor </w:t>
      </w:r>
      <w:r w:rsidR="001D6B07">
        <w:t xml:space="preserve">can </w:t>
      </w:r>
      <w:r w:rsidR="00914640">
        <w:t xml:space="preserve">save by </w:t>
      </w:r>
      <w:r w:rsidR="00733D3B">
        <w:t xml:space="preserve">paying firms somewhat less or charging </w:t>
      </w:r>
      <w:r w:rsidR="00F438B1">
        <w:t xml:space="preserve">countries somewhat </w:t>
      </w:r>
      <w:r w:rsidR="001D6B07">
        <w:t>more</w:t>
      </w:r>
      <w:r w:rsidR="000B5C6D">
        <w:t>,</w:t>
      </w:r>
      <w:r w:rsidR="00F438B1">
        <w:t xml:space="preserve"> </w:t>
      </w:r>
      <w:r w:rsidR="001D6B07">
        <w:t xml:space="preserve">so </w:t>
      </w:r>
      <w:r w:rsidR="00F438B1">
        <w:t xml:space="preserve">maximizing social welfare </w:t>
      </w:r>
      <w:r w:rsidR="001D6B07">
        <w:t xml:space="preserve">under uncertainty </w:t>
      </w:r>
      <w:r w:rsidR="00F438B1">
        <w:t xml:space="preserve">requires paying firms more than the expected cost of the vaccine </w:t>
      </w:r>
      <w:r w:rsidR="00F82C3A">
        <w:t xml:space="preserve">and </w:t>
      </w:r>
      <w:r w:rsidR="007040A0">
        <w:t xml:space="preserve">setting </w:t>
      </w:r>
      <w:r w:rsidR="00F438B1">
        <w:t xml:space="preserve">country copayments </w:t>
      </w:r>
      <w:r w:rsidR="007040A0">
        <w:t xml:space="preserve">below </w:t>
      </w:r>
      <w:r w:rsidR="00F438B1">
        <w:t>the expected marginal cost</w:t>
      </w:r>
      <w:r w:rsidR="00914640">
        <w:t>.</w:t>
      </w:r>
    </w:p>
    <w:p w14:paraId="61A1B10E" w14:textId="7854AFCE" w:rsidR="00733D3B" w:rsidRDefault="00507A7B" w:rsidP="00914640">
      <w:r>
        <w:t>The Online Appendix provides a range of calibrations quantifying the asymmetry of the loss function. For example,</w:t>
      </w:r>
      <w:r w:rsidR="00284EE0">
        <w:t xml:space="preserve"> </w:t>
      </w:r>
      <w:r>
        <w:t xml:space="preserve">assuming the </w:t>
      </w:r>
      <w:r w:rsidR="00284EE0">
        <w:t>AMC designer</w:t>
      </w:r>
      <w:r>
        <w:t xml:space="preserve"> </w:t>
      </w:r>
      <w:r w:rsidR="00284EE0">
        <w:t>sought to maximize health benefit with the available funds,</w:t>
      </w:r>
      <w:r>
        <w:t xml:space="preserve"> </w:t>
      </w:r>
      <w:r w:rsidR="00284EE0">
        <w:t xml:space="preserve">correctly anticipated the speed of rollout under the AMC, </w:t>
      </w:r>
      <w:r w:rsidR="00493BF9">
        <w:t xml:space="preserve">and used </w:t>
      </w:r>
      <w:r w:rsidR="00733D3B" w:rsidRPr="00FF3AAD">
        <w:t xml:space="preserve">money </w:t>
      </w:r>
      <w:r w:rsidR="004715D6">
        <w:t xml:space="preserve">saved from lower vaccine prices </w:t>
      </w:r>
      <w:r w:rsidR="00493BF9">
        <w:t xml:space="preserve">for </w:t>
      </w:r>
      <w:r w:rsidR="004715D6">
        <w:lastRenderedPageBreak/>
        <w:t xml:space="preserve">other health interventions </w:t>
      </w:r>
      <w:r w:rsidR="00733D3B" w:rsidRPr="00FF3AAD">
        <w:t xml:space="preserve">at the </w:t>
      </w:r>
      <w:r w:rsidR="004715D6">
        <w:t xml:space="preserve">WHO </w:t>
      </w:r>
      <w:r w:rsidR="00733D3B" w:rsidRPr="00FF3AAD">
        <w:t>threshold for highly cost effective interventions,</w:t>
      </w:r>
      <w:r w:rsidR="00284EE0">
        <w:t xml:space="preserve"> </w:t>
      </w:r>
      <w:r w:rsidR="00493BF9">
        <w:t xml:space="preserve">the $3.50 price set in the pilot dominates a $2 price even if </w:t>
      </w:r>
      <w:r w:rsidR="001D6B07">
        <w:t xml:space="preserve">the lower price generated only </w:t>
      </w:r>
      <w:r w:rsidR="00493BF9">
        <w:t xml:space="preserve">a </w:t>
      </w:r>
      <w:r w:rsidR="006C4B0B">
        <w:t>4</w:t>
      </w:r>
      <w:r w:rsidR="00493BF9">
        <w:t>%</w:t>
      </w:r>
      <w:r w:rsidR="001D6B07">
        <w:t xml:space="preserve"> risk</w:t>
      </w:r>
      <w:r w:rsidR="00493BF9">
        <w:t xml:space="preserve"> th</w:t>
      </w:r>
      <w:r w:rsidR="001D6B07">
        <w:t>e</w:t>
      </w:r>
      <w:r w:rsidR="00493BF9">
        <w:t xml:space="preserve"> firms refuse to participate</w:t>
      </w:r>
      <w:r w:rsidR="007D5A2E">
        <w:t xml:space="preserve"> (although the precise figure is sensitive to assumptions about alternative uses of savings)</w:t>
      </w:r>
      <w:r w:rsidR="001D6B07">
        <w:t xml:space="preserve">. </w:t>
      </w:r>
      <w:r w:rsidR="00F438B1">
        <w:t xml:space="preserve">Analogous calculations </w:t>
      </w:r>
      <w:r w:rsidR="00493BF9">
        <w:t>can show</w:t>
      </w:r>
      <w:r w:rsidR="00F438B1">
        <w:t xml:space="preserve"> that if </w:t>
      </w:r>
      <w:r w:rsidR="004419A5">
        <w:t xml:space="preserve">there were even a small chance that </w:t>
      </w:r>
      <w:r w:rsidR="00F438B1">
        <w:t xml:space="preserve">lower copayments would have led India or other countries </w:t>
      </w:r>
      <w:r w:rsidR="004419A5">
        <w:t xml:space="preserve">to </w:t>
      </w:r>
      <w:r w:rsidR="00F438B1">
        <w:t>adopt sooner, th</w:t>
      </w:r>
      <w:r w:rsidR="00976B00">
        <w:t>is</w:t>
      </w:r>
      <w:r w:rsidR="00F438B1">
        <w:t xml:space="preserve"> would have </w:t>
      </w:r>
      <w:r w:rsidR="004419A5">
        <w:t>substantially increased the expected number of lives saved through the program</w:t>
      </w:r>
      <w:r w:rsidR="00F438B1">
        <w:t>.</w:t>
      </w:r>
      <w:r w:rsidR="00E26A0A">
        <w:t xml:space="preserve">  </w:t>
      </w:r>
    </w:p>
    <w:p w14:paraId="56082AE1" w14:textId="5CE77EE8" w:rsidR="00802759" w:rsidRDefault="00F438B1" w:rsidP="00802759">
      <w:pPr>
        <w:rPr>
          <w:rFonts w:eastAsia="Times New Roman"/>
        </w:rPr>
      </w:pPr>
      <w:r>
        <w:rPr>
          <w:rFonts w:eastAsia="Times New Roman"/>
        </w:rPr>
        <w:t xml:space="preserve">While </w:t>
      </w:r>
      <w:r w:rsidR="009A47EE">
        <w:rPr>
          <w:rFonts w:eastAsia="Times New Roman"/>
        </w:rPr>
        <w:t xml:space="preserve">some activists have argued that the $3.50 paid per dose exceeds manufacturing costs, </w:t>
      </w:r>
      <w:r w:rsidR="00C91CB9">
        <w:rPr>
          <w:rFonts w:eastAsia="Times New Roman"/>
        </w:rPr>
        <w:t>the relevant issue for AMC designers is not manufacturing cost</w:t>
      </w:r>
      <w:r w:rsidR="00EB312D">
        <w:rPr>
          <w:rFonts w:eastAsia="Times New Roman"/>
        </w:rPr>
        <w:t>s</w:t>
      </w:r>
      <w:r w:rsidR="00C91CB9">
        <w:rPr>
          <w:rFonts w:eastAsia="Times New Roman"/>
        </w:rPr>
        <w:t xml:space="preserve"> but </w:t>
      </w:r>
      <w:r w:rsidR="00EB312D">
        <w:rPr>
          <w:rFonts w:eastAsia="Times New Roman"/>
        </w:rPr>
        <w:t xml:space="preserve">firms’ </w:t>
      </w:r>
      <w:r w:rsidR="00733D3B">
        <w:rPr>
          <w:rFonts w:eastAsia="Times New Roman"/>
        </w:rPr>
        <w:t>reservation value</w:t>
      </w:r>
      <w:r>
        <w:rPr>
          <w:rFonts w:eastAsia="Times New Roman"/>
        </w:rPr>
        <w:t>s</w:t>
      </w:r>
      <w:r w:rsidR="00D036EB">
        <w:rPr>
          <w:rFonts w:eastAsia="Times New Roman"/>
        </w:rPr>
        <w:t xml:space="preserve">. Their reservation values may </w:t>
      </w:r>
      <w:r w:rsidR="00733D3B">
        <w:rPr>
          <w:rFonts w:eastAsia="Times New Roman"/>
        </w:rPr>
        <w:t xml:space="preserve">substantially exceed </w:t>
      </w:r>
      <w:r>
        <w:rPr>
          <w:rFonts w:eastAsia="Times New Roman"/>
        </w:rPr>
        <w:t>manufacturing</w:t>
      </w:r>
      <w:r w:rsidR="00733D3B">
        <w:rPr>
          <w:rFonts w:eastAsia="Times New Roman"/>
        </w:rPr>
        <w:t xml:space="preserve"> costs</w:t>
      </w:r>
      <w:r w:rsidR="00D036EB">
        <w:rPr>
          <w:rFonts w:eastAsia="Times New Roman"/>
        </w:rPr>
        <w:t xml:space="preserve"> for several reasons: the AMC top up may not fully defray their capacity costs;</w:t>
      </w:r>
      <w:r w:rsidR="005C1F51">
        <w:rPr>
          <w:rFonts w:eastAsia="Times New Roman"/>
        </w:rPr>
        <w:t xml:space="preserve"> </w:t>
      </w:r>
      <w:r w:rsidR="00D036EB">
        <w:rPr>
          <w:rFonts w:eastAsia="Times New Roman"/>
        </w:rPr>
        <w:t>they</w:t>
      </w:r>
      <w:r w:rsidR="005C1F51">
        <w:rPr>
          <w:rFonts w:eastAsia="Times New Roman"/>
        </w:rPr>
        <w:t xml:space="preserve"> </w:t>
      </w:r>
      <w:r w:rsidR="004419A5">
        <w:rPr>
          <w:rFonts w:eastAsia="Times New Roman"/>
        </w:rPr>
        <w:t>may fear that</w:t>
      </w:r>
      <w:r w:rsidR="00733D3B">
        <w:rPr>
          <w:rFonts w:eastAsia="Times New Roman"/>
        </w:rPr>
        <w:t xml:space="preserve"> </w:t>
      </w:r>
      <w:r w:rsidR="00EB312D">
        <w:rPr>
          <w:rFonts w:eastAsia="Times New Roman"/>
        </w:rPr>
        <w:t xml:space="preserve">offering a low </w:t>
      </w:r>
      <w:r w:rsidR="00733D3B">
        <w:rPr>
          <w:rFonts w:eastAsia="Times New Roman"/>
        </w:rPr>
        <w:t xml:space="preserve">AMC </w:t>
      </w:r>
      <w:r w:rsidR="00EB312D">
        <w:rPr>
          <w:rFonts w:eastAsia="Times New Roman"/>
        </w:rPr>
        <w:t xml:space="preserve">price </w:t>
      </w:r>
      <w:r w:rsidR="00D036EB">
        <w:rPr>
          <w:rFonts w:eastAsia="Times New Roman"/>
        </w:rPr>
        <w:t>would</w:t>
      </w:r>
      <w:r w:rsidR="004419A5">
        <w:rPr>
          <w:rFonts w:eastAsia="Times New Roman"/>
        </w:rPr>
        <w:t xml:space="preserve"> lead </w:t>
      </w:r>
      <w:r w:rsidR="00967950">
        <w:rPr>
          <w:rFonts w:eastAsia="Times New Roman"/>
        </w:rPr>
        <w:t xml:space="preserve">higher income </w:t>
      </w:r>
      <w:r w:rsidR="00C91CB9">
        <w:rPr>
          <w:rFonts w:eastAsia="Times New Roman"/>
        </w:rPr>
        <w:t xml:space="preserve">countries </w:t>
      </w:r>
      <w:r w:rsidR="004419A5">
        <w:rPr>
          <w:rFonts w:eastAsia="Times New Roman"/>
        </w:rPr>
        <w:t xml:space="preserve">to </w:t>
      </w:r>
      <w:r w:rsidR="00C91CB9">
        <w:rPr>
          <w:rFonts w:eastAsia="Times New Roman"/>
        </w:rPr>
        <w:t>press for price</w:t>
      </w:r>
      <w:r w:rsidR="00967950">
        <w:rPr>
          <w:rFonts w:eastAsia="Times New Roman"/>
        </w:rPr>
        <w:t xml:space="preserve"> reductions</w:t>
      </w:r>
      <w:r>
        <w:rPr>
          <w:rFonts w:eastAsia="Times New Roman"/>
        </w:rPr>
        <w:t>.</w:t>
      </w:r>
    </w:p>
    <w:p w14:paraId="45F54000" w14:textId="2065BA5F" w:rsidR="00C679F1" w:rsidRDefault="009A47EE" w:rsidP="002F32D4">
      <w:pPr>
        <w:rPr>
          <w:rFonts w:eastAsia="Times New Roman"/>
        </w:rPr>
      </w:pPr>
      <w:r>
        <w:rPr>
          <w:rFonts w:eastAsia="Times New Roman"/>
        </w:rPr>
        <w:t xml:space="preserve">While </w:t>
      </w:r>
      <w:r w:rsidR="00EC36A6">
        <w:rPr>
          <w:rFonts w:eastAsia="Times New Roman"/>
        </w:rPr>
        <w:t xml:space="preserve">these factors imply </w:t>
      </w:r>
      <w:r w:rsidR="00EB312D">
        <w:rPr>
          <w:rFonts w:eastAsia="Times New Roman"/>
        </w:rPr>
        <w:t xml:space="preserve">ex ante </w:t>
      </w:r>
      <w:r w:rsidR="00EC36A6">
        <w:rPr>
          <w:rFonts w:eastAsia="Times New Roman"/>
        </w:rPr>
        <w:t>optimal prices will exceed expected production costs</w:t>
      </w:r>
      <w:r>
        <w:rPr>
          <w:rFonts w:eastAsia="Times New Roman"/>
        </w:rPr>
        <w:t xml:space="preserve">, </w:t>
      </w:r>
      <w:r w:rsidR="00967950">
        <w:rPr>
          <w:rFonts w:eastAsia="Times New Roman"/>
        </w:rPr>
        <w:t xml:space="preserve">the facts that </w:t>
      </w:r>
      <w:r>
        <w:rPr>
          <w:rFonts w:eastAsia="Times New Roman"/>
        </w:rPr>
        <w:t>both firms participated</w:t>
      </w:r>
      <w:r w:rsidR="00682E62">
        <w:rPr>
          <w:rFonts w:eastAsia="Times New Roman"/>
        </w:rPr>
        <w:t xml:space="preserve"> </w:t>
      </w:r>
      <w:r w:rsidR="00F74590">
        <w:rPr>
          <w:rFonts w:eastAsia="Times New Roman"/>
        </w:rPr>
        <w:t>even though one likely had substantially higher manufacturing cost</w:t>
      </w:r>
      <w:r>
        <w:rPr>
          <w:rFonts w:eastAsia="Times New Roman"/>
        </w:rPr>
        <w:t xml:space="preserve"> and </w:t>
      </w:r>
      <w:r w:rsidR="00967950">
        <w:rPr>
          <w:rFonts w:eastAsia="Times New Roman"/>
        </w:rPr>
        <w:t xml:space="preserve">that </w:t>
      </w:r>
      <w:r>
        <w:rPr>
          <w:rFonts w:eastAsia="Times New Roman"/>
        </w:rPr>
        <w:t xml:space="preserve">both continued to participate at $2.90 per dose suggests that at least one </w:t>
      </w:r>
      <w:r w:rsidR="00EC36A6">
        <w:rPr>
          <w:rFonts w:eastAsia="Times New Roman"/>
        </w:rPr>
        <w:t xml:space="preserve">firm </w:t>
      </w:r>
      <w:r>
        <w:rPr>
          <w:rFonts w:eastAsia="Times New Roman"/>
        </w:rPr>
        <w:t>would</w:t>
      </w:r>
      <w:r w:rsidR="00F74590">
        <w:rPr>
          <w:rFonts w:eastAsia="Times New Roman"/>
        </w:rPr>
        <w:t xml:space="preserve"> likely</w:t>
      </w:r>
      <w:r>
        <w:rPr>
          <w:rFonts w:eastAsia="Times New Roman"/>
        </w:rPr>
        <w:t xml:space="preserve"> have participated at a lower </w:t>
      </w:r>
      <w:r w:rsidR="00EC36A6">
        <w:rPr>
          <w:rFonts w:eastAsia="Times New Roman"/>
        </w:rPr>
        <w:t>price</w:t>
      </w:r>
      <w:r>
        <w:rPr>
          <w:rFonts w:eastAsia="Times New Roman"/>
        </w:rPr>
        <w:t xml:space="preserve">. </w:t>
      </w:r>
    </w:p>
    <w:p w14:paraId="27BB1F44" w14:textId="79AB9A30" w:rsidR="006570C7" w:rsidRDefault="00EC36A6" w:rsidP="002F32D4">
      <w:pPr>
        <w:rPr>
          <w:rFonts w:eastAsia="Times New Roman"/>
        </w:rPr>
      </w:pPr>
      <w:r>
        <w:rPr>
          <w:rFonts w:eastAsia="Times New Roman"/>
        </w:rPr>
        <w:t xml:space="preserve">Still, prices for PCV are much lower under the AMC than outside it.  </w:t>
      </w:r>
      <w:r w:rsidR="00157CAF">
        <w:rPr>
          <w:rFonts w:eastAsia="Times New Roman"/>
        </w:rPr>
        <w:t>Currently, l</w:t>
      </w:r>
      <w:r w:rsidR="00617B55" w:rsidRPr="00D21F51">
        <w:rPr>
          <w:rFonts w:eastAsia="Times New Roman"/>
        </w:rPr>
        <w:t xml:space="preserve">ower-income countries </w:t>
      </w:r>
      <w:r w:rsidR="00157CAF">
        <w:rPr>
          <w:rFonts w:eastAsia="Times New Roman"/>
        </w:rPr>
        <w:t xml:space="preserve">in the Americas pay $12 or more per dose </w:t>
      </w:r>
      <w:r w:rsidR="00617B55" w:rsidRPr="00D21F51">
        <w:rPr>
          <w:rFonts w:eastAsia="Times New Roman"/>
        </w:rPr>
        <w:t>(WHO 2019)</w:t>
      </w:r>
      <w:r w:rsidR="00157CAF">
        <w:rPr>
          <w:rFonts w:eastAsia="Times New Roman"/>
        </w:rPr>
        <w:t xml:space="preserve">; the </w:t>
      </w:r>
      <w:r>
        <w:rPr>
          <w:rFonts w:eastAsia="Times New Roman"/>
        </w:rPr>
        <w:t xml:space="preserve">U.S. </w:t>
      </w:r>
      <w:r w:rsidR="00D21F51" w:rsidRPr="00D21F51">
        <w:rPr>
          <w:rFonts w:eastAsia="Times New Roman"/>
        </w:rPr>
        <w:t>Centers for Disease Control and P</w:t>
      </w:r>
      <w:r w:rsidR="00157CAF">
        <w:rPr>
          <w:rFonts w:eastAsia="Times New Roman"/>
        </w:rPr>
        <w:t xml:space="preserve">revention </w:t>
      </w:r>
      <w:r w:rsidR="000F28A5">
        <w:rPr>
          <w:rFonts w:eastAsia="Times New Roman"/>
        </w:rPr>
        <w:t>(CDC)</w:t>
      </w:r>
      <w:r w:rsidR="00D21F51" w:rsidRPr="00D21F51">
        <w:rPr>
          <w:rFonts w:eastAsia="Times New Roman"/>
        </w:rPr>
        <w:t xml:space="preserve"> </w:t>
      </w:r>
      <w:r w:rsidR="00157CAF">
        <w:rPr>
          <w:rFonts w:eastAsia="Times New Roman"/>
        </w:rPr>
        <w:t xml:space="preserve">pays </w:t>
      </w:r>
      <w:r w:rsidR="00D21F51" w:rsidRPr="00D21F51">
        <w:rPr>
          <w:rFonts w:eastAsia="Times New Roman"/>
        </w:rPr>
        <w:t>$137</w:t>
      </w:r>
      <w:r w:rsidR="00157CAF">
        <w:rPr>
          <w:rFonts w:eastAsia="Times New Roman"/>
        </w:rPr>
        <w:t xml:space="preserve"> </w:t>
      </w:r>
      <w:r w:rsidR="00D21F51" w:rsidRPr="00D21F51">
        <w:rPr>
          <w:rFonts w:eastAsia="Times New Roman"/>
        </w:rPr>
        <w:t>(CDC 2019)</w:t>
      </w:r>
      <w:r w:rsidR="00157CAF">
        <w:rPr>
          <w:rFonts w:eastAsia="Times New Roman"/>
        </w:rPr>
        <w:t>.</w:t>
      </w:r>
      <w:r w:rsidR="00D21F51" w:rsidRPr="00D21F51">
        <w:rPr>
          <w:rFonts w:eastAsia="Times New Roman"/>
        </w:rPr>
        <w:t xml:space="preserve"> </w:t>
      </w:r>
      <w:r>
        <w:rPr>
          <w:rFonts w:eastAsia="Times New Roman"/>
        </w:rPr>
        <w:t xml:space="preserve">As we show in Figure 3 in the Online Appendix, the percentage discount GAVI receives </w:t>
      </w:r>
      <w:r w:rsidR="00E3566A">
        <w:rPr>
          <w:rFonts w:eastAsia="Times New Roman"/>
        </w:rPr>
        <w:t>compared to</w:t>
      </w:r>
      <w:r>
        <w:rPr>
          <w:rFonts w:eastAsia="Times New Roman"/>
        </w:rPr>
        <w:t xml:space="preserve"> various global price measures is greater for PCV than for almost any other vaccine</w:t>
      </w:r>
      <w:r w:rsidR="006570C7">
        <w:rPr>
          <w:rFonts w:eastAsia="Times New Roman"/>
        </w:rPr>
        <w:t xml:space="preserve">. </w:t>
      </w:r>
    </w:p>
    <w:p w14:paraId="77489F35" w14:textId="08A6EDDD" w:rsidR="00284EE0" w:rsidRDefault="00EC2761" w:rsidP="006138F1">
      <w:pPr>
        <w:rPr>
          <w:rFonts w:eastAsia="Times New Roman"/>
        </w:rPr>
      </w:pPr>
      <w:r>
        <w:t>E</w:t>
      </w:r>
      <w:r w:rsidR="00284EE0">
        <w:t xml:space="preserve">xtending </w:t>
      </w:r>
      <w:r w:rsidR="00284EE0">
        <w:rPr>
          <w:rFonts w:eastAsia="Times New Roman"/>
        </w:rPr>
        <w:t>AMC participation beyon</w:t>
      </w:r>
      <w:r>
        <w:rPr>
          <w:rFonts w:eastAsia="Times New Roman"/>
        </w:rPr>
        <w:t>d GAVI-eligible countries</w:t>
      </w:r>
      <w:r w:rsidR="00284EE0">
        <w:rPr>
          <w:rFonts w:eastAsia="Times New Roman"/>
        </w:rPr>
        <w:t xml:space="preserve"> </w:t>
      </w:r>
      <w:r>
        <w:rPr>
          <w:rFonts w:eastAsia="Times New Roman"/>
        </w:rPr>
        <w:t>could have saved more lives, a</w:t>
      </w:r>
      <w:r w:rsidR="00F12B40">
        <w:rPr>
          <w:rFonts w:eastAsia="Times New Roman"/>
        </w:rPr>
        <w:t>l</w:t>
      </w:r>
      <w:r>
        <w:rPr>
          <w:rFonts w:eastAsia="Times New Roman"/>
        </w:rPr>
        <w:t>though it is possible that manufacturers would have demand</w:t>
      </w:r>
      <w:r w:rsidR="0001567C">
        <w:rPr>
          <w:rFonts w:eastAsia="Times New Roman"/>
        </w:rPr>
        <w:t>ed</w:t>
      </w:r>
      <w:r>
        <w:rPr>
          <w:rFonts w:eastAsia="Times New Roman"/>
        </w:rPr>
        <w:t xml:space="preserve"> higher prices for a program covering higher-income countries if they thought this would have cut into sales at higher prices or put pressure on pricing in higher income countries.   </w:t>
      </w:r>
    </w:p>
    <w:p w14:paraId="3C6AE688" w14:textId="4053844C" w:rsidR="00E26A0A" w:rsidRDefault="0001567C" w:rsidP="00E26A0A">
      <w:pPr>
        <w:pStyle w:val="Heading2"/>
      </w:pPr>
      <w:r>
        <w:t>C</w:t>
      </w:r>
      <w:r w:rsidR="00E26A0A">
        <w:t xml:space="preserve">. </w:t>
      </w:r>
      <w:r w:rsidR="008A083B">
        <w:t xml:space="preserve">Number of </w:t>
      </w:r>
      <w:r w:rsidR="0019468C">
        <w:t>Firms</w:t>
      </w:r>
      <w:r w:rsidR="00C5407C">
        <w:t xml:space="preserve"> </w:t>
      </w:r>
    </w:p>
    <w:p w14:paraId="6C1AB490" w14:textId="3581E4CD" w:rsidR="00E26A0A" w:rsidRDefault="00C5407C" w:rsidP="00E26A0A">
      <w:pPr>
        <w:rPr>
          <w:rFonts w:eastAsia="Times New Roman"/>
        </w:rPr>
      </w:pPr>
      <w:r>
        <w:rPr>
          <w:rFonts w:eastAsia="Times New Roman"/>
        </w:rPr>
        <w:t>A</w:t>
      </w:r>
      <w:r w:rsidR="004419A5">
        <w:rPr>
          <w:rFonts w:eastAsia="Times New Roman"/>
        </w:rPr>
        <w:t xml:space="preserve"> program with lower copayments</w:t>
      </w:r>
      <w:r>
        <w:rPr>
          <w:rFonts w:eastAsia="Times New Roman"/>
        </w:rPr>
        <w:t>, more generous country inclusion rules,</w:t>
      </w:r>
      <w:r w:rsidR="004419A5">
        <w:rPr>
          <w:rFonts w:eastAsia="Times New Roman"/>
        </w:rPr>
        <w:t xml:space="preserve"> and </w:t>
      </w:r>
      <w:r w:rsidR="00E26A0A">
        <w:rPr>
          <w:rFonts w:eastAsia="Times New Roman"/>
        </w:rPr>
        <w:t xml:space="preserve">faster </w:t>
      </w:r>
      <w:r w:rsidR="004419A5">
        <w:rPr>
          <w:rFonts w:eastAsia="Times New Roman"/>
        </w:rPr>
        <w:t>issuance of tenders for the full AMC am</w:t>
      </w:r>
      <w:r>
        <w:rPr>
          <w:rFonts w:eastAsia="Times New Roman"/>
        </w:rPr>
        <w:t xml:space="preserve">ount </w:t>
      </w:r>
      <w:r w:rsidR="00E26A0A">
        <w:rPr>
          <w:rFonts w:eastAsia="Times New Roman"/>
        </w:rPr>
        <w:t xml:space="preserve">could </w:t>
      </w:r>
      <w:r>
        <w:rPr>
          <w:rFonts w:eastAsia="Times New Roman"/>
        </w:rPr>
        <w:t xml:space="preserve">potentially </w:t>
      </w:r>
      <w:r w:rsidR="00E26A0A">
        <w:rPr>
          <w:rFonts w:eastAsia="Times New Roman"/>
        </w:rPr>
        <w:t xml:space="preserve">have generated greater </w:t>
      </w:r>
      <w:r w:rsidR="00E26A0A" w:rsidRPr="00D21F51">
        <w:rPr>
          <w:rFonts w:eastAsia="Times New Roman"/>
        </w:rPr>
        <w:t>health benefits</w:t>
      </w:r>
      <w:r>
        <w:rPr>
          <w:rFonts w:eastAsia="Times New Roman"/>
        </w:rPr>
        <w:t xml:space="preserve"> </w:t>
      </w:r>
      <w:r w:rsidR="00667D8B">
        <w:rPr>
          <w:rFonts w:eastAsia="Times New Roman"/>
        </w:rPr>
        <w:t>up to now</w:t>
      </w:r>
      <w:r w:rsidR="00D52293">
        <w:rPr>
          <w:rFonts w:eastAsia="Times New Roman"/>
        </w:rPr>
        <w:t>.</w:t>
      </w:r>
    </w:p>
    <w:p w14:paraId="7FED7E17" w14:textId="200130F0" w:rsidR="00C5407C" w:rsidRDefault="00087A7C" w:rsidP="00C5407C">
      <w:pPr>
        <w:rPr>
          <w:rFonts w:eastAsia="Times New Roman"/>
        </w:rPr>
      </w:pPr>
      <w:r>
        <w:rPr>
          <w:rFonts w:eastAsia="Times New Roman"/>
        </w:rPr>
        <w:t>However, h</w:t>
      </w:r>
      <w:r w:rsidR="00C5407C">
        <w:rPr>
          <w:rFonts w:eastAsia="Times New Roman"/>
        </w:rPr>
        <w:t xml:space="preserve">olding back some funds for later tenders </w:t>
      </w:r>
      <w:r>
        <w:rPr>
          <w:rFonts w:eastAsia="Times New Roman"/>
        </w:rPr>
        <w:t xml:space="preserve">may have </w:t>
      </w:r>
      <w:r w:rsidR="00C5407C">
        <w:rPr>
          <w:rFonts w:eastAsia="Times New Roman"/>
        </w:rPr>
        <w:t xml:space="preserve">helped incentivize entry by Serum </w:t>
      </w:r>
      <w:r w:rsidR="00C5407C" w:rsidRPr="00D21F51">
        <w:rPr>
          <w:rFonts w:eastAsia="Times New Roman"/>
        </w:rPr>
        <w:t>Insti</w:t>
      </w:r>
      <w:r w:rsidR="00C5407C">
        <w:rPr>
          <w:rFonts w:eastAsia="Times New Roman"/>
        </w:rPr>
        <w:t>tute</w:t>
      </w:r>
      <w:r>
        <w:rPr>
          <w:rFonts w:eastAsia="Times New Roman"/>
        </w:rPr>
        <w:t xml:space="preserve"> (although </w:t>
      </w:r>
      <w:r w:rsidR="00114A63">
        <w:rPr>
          <w:rFonts w:eastAsia="Times New Roman"/>
        </w:rPr>
        <w:t>the product also received substantial push funding</w:t>
      </w:r>
      <w:r>
        <w:rPr>
          <w:rFonts w:eastAsia="Times New Roman"/>
        </w:rPr>
        <w:t>)</w:t>
      </w:r>
      <w:r w:rsidR="00C5407C">
        <w:rPr>
          <w:rFonts w:eastAsia="Times New Roman"/>
        </w:rPr>
        <w:t xml:space="preserve">. </w:t>
      </w:r>
      <w:r>
        <w:rPr>
          <w:rFonts w:eastAsia="Times New Roman"/>
        </w:rPr>
        <w:t xml:space="preserve">Serum Institute’s vaccine </w:t>
      </w:r>
      <w:r w:rsidR="00C5407C">
        <w:rPr>
          <w:rFonts w:eastAsia="Times New Roman"/>
        </w:rPr>
        <w:t xml:space="preserve">is somewhat cheaper to produce than previous </w:t>
      </w:r>
      <w:r>
        <w:rPr>
          <w:rFonts w:eastAsia="Times New Roman"/>
        </w:rPr>
        <w:t>PCVs</w:t>
      </w:r>
      <w:r w:rsidR="00C5407C">
        <w:rPr>
          <w:rFonts w:eastAsia="Times New Roman"/>
        </w:rPr>
        <w:t xml:space="preserve">, but the chief </w:t>
      </w:r>
      <w:r w:rsidR="00C5407C">
        <w:rPr>
          <w:rFonts w:eastAsia="Times New Roman"/>
        </w:rPr>
        <w:lastRenderedPageBreak/>
        <w:t xml:space="preserve">benefit of this entry </w:t>
      </w:r>
      <w:r w:rsidR="00114A63">
        <w:rPr>
          <w:rFonts w:eastAsia="Times New Roman"/>
        </w:rPr>
        <w:t xml:space="preserve">likely </w:t>
      </w:r>
      <w:r w:rsidR="00C5407C">
        <w:rPr>
          <w:rFonts w:eastAsia="Times New Roman"/>
        </w:rPr>
        <w:t>come</w:t>
      </w:r>
      <w:r w:rsidR="00114A63">
        <w:rPr>
          <w:rFonts w:eastAsia="Times New Roman"/>
        </w:rPr>
        <w:t>s</w:t>
      </w:r>
      <w:r w:rsidR="00C5407C">
        <w:rPr>
          <w:rFonts w:eastAsia="Times New Roman"/>
        </w:rPr>
        <w:t xml:space="preserve"> from inducing greater competition in the market outside of GAVI </w:t>
      </w:r>
      <w:r w:rsidR="00E3566A">
        <w:rPr>
          <w:rFonts w:eastAsia="Times New Roman"/>
        </w:rPr>
        <w:t xml:space="preserve">countries </w:t>
      </w:r>
      <w:r w:rsidR="00C5407C">
        <w:rPr>
          <w:rFonts w:eastAsia="Times New Roman"/>
        </w:rPr>
        <w:t>and in the GAVI-country market after the AMC ends. Another benefit is that India may decide to expand its heretofore limited participation in response to the entry of a domestic supplier.</w:t>
      </w:r>
    </w:p>
    <w:p w14:paraId="32B230EA" w14:textId="5A67570B" w:rsidR="00AB4B9A" w:rsidRDefault="00C5407C" w:rsidP="00907FE2">
      <w:pPr>
        <w:keepNext/>
        <w:widowControl w:val="0"/>
      </w:pPr>
      <w:r>
        <w:rPr>
          <w:rFonts w:eastAsia="Times New Roman"/>
        </w:rPr>
        <w:t xml:space="preserve">A key issue for future AMCs will be whether to </w:t>
      </w:r>
      <w:r w:rsidR="008A083B">
        <w:rPr>
          <w:rFonts w:eastAsia="Times New Roman"/>
        </w:rPr>
        <w:t xml:space="preserve">split the AMC among multiple suppliers and reserve tenders for future entrants as did the pilot pneumococcus AMC or to </w:t>
      </w:r>
      <w:r w:rsidR="00F34A83">
        <w:rPr>
          <w:rFonts w:eastAsia="Times New Roman"/>
        </w:rPr>
        <w:t xml:space="preserve">concentrate incentives on a single supplier </w:t>
      </w:r>
      <w:r w:rsidR="00051A72">
        <w:rPr>
          <w:rFonts w:eastAsia="Times New Roman"/>
        </w:rPr>
        <w:t>as envisioned in Kremer and Glennerster (2004)</w:t>
      </w:r>
      <w:r w:rsidR="008A083B">
        <w:rPr>
          <w:rFonts w:eastAsia="Times New Roman"/>
        </w:rPr>
        <w:t>. S</w:t>
      </w:r>
      <w:r w:rsidR="008A083B" w:rsidRPr="008A083B">
        <w:t xml:space="preserve">ponsors of the </w:t>
      </w:r>
      <w:r w:rsidR="008A083B">
        <w:t xml:space="preserve">AMC </w:t>
      </w:r>
      <w:r w:rsidR="008A083B" w:rsidRPr="008A083B">
        <w:t xml:space="preserve">pilot </w:t>
      </w:r>
      <w:r w:rsidR="008A083B">
        <w:t xml:space="preserve">prioritized entry </w:t>
      </w:r>
      <w:r w:rsidR="008A083B" w:rsidRPr="008A083B">
        <w:t>of multiple vaccines because they saw competition as essential for holding down long-run prices</w:t>
      </w:r>
      <w:r w:rsidR="00D5685F">
        <w:t xml:space="preserve"> and avoiding supply interruptions</w:t>
      </w:r>
      <w:r w:rsidR="008A083B" w:rsidRPr="008A083B">
        <w:t>.</w:t>
      </w:r>
      <w:r w:rsidR="00F34A83">
        <w:t xml:space="preserve"> Kremer and Glennerster (2004) prioritized the development of a vaccine </w:t>
      </w:r>
      <w:r w:rsidR="00B67816">
        <w:t xml:space="preserve">where none currently </w:t>
      </w:r>
      <w:r w:rsidR="00F34A83">
        <w:t>existed, relying on the price cap, to which the firm agrees to access AMC funds, to keep prices near marginal cost over the long term</w:t>
      </w:r>
      <w:r w:rsidR="00B67816">
        <w:t>.</w:t>
      </w:r>
      <w:r w:rsidR="008D2092">
        <w:t xml:space="preserve"> </w:t>
      </w:r>
      <w:r w:rsidR="00B67816">
        <w:t>Penalty clauses could be specified to mitigate</w:t>
      </w:r>
      <w:r w:rsidR="008D2092">
        <w:t xml:space="preserve"> </w:t>
      </w:r>
      <w:r w:rsidR="00AB4B9A">
        <w:t xml:space="preserve">supply interruptions. </w:t>
      </w:r>
      <w:r w:rsidR="00B67816">
        <w:t xml:space="preserve">Development of </w:t>
      </w:r>
      <w:r w:rsidR="008D2092">
        <w:t xml:space="preserve">yet more advanced vaccines could be incentivized through subsequent AMCs. </w:t>
      </w:r>
    </w:p>
    <w:p w14:paraId="329B17A7" w14:textId="4F9F1D00" w:rsidR="00F777D5" w:rsidRPr="00D21F51" w:rsidRDefault="00AB4B9A" w:rsidP="00907FE2">
      <w:pPr>
        <w:keepNext/>
        <w:widowControl w:val="0"/>
        <w:rPr>
          <w:rFonts w:eastAsia="Times New Roman"/>
        </w:rPr>
      </w:pPr>
      <w:r>
        <w:rPr>
          <w:rFonts w:eastAsia="Times New Roman"/>
        </w:rPr>
        <w:t xml:space="preserve">For distant technological targets, incentivizing </w:t>
      </w:r>
      <w:r w:rsidR="00B67816">
        <w:rPr>
          <w:rFonts w:eastAsia="Times New Roman"/>
        </w:rPr>
        <w:t xml:space="preserve">a sequence of entrants </w:t>
      </w:r>
      <w:r>
        <w:rPr>
          <w:rFonts w:eastAsia="Times New Roman"/>
        </w:rPr>
        <w:t xml:space="preserve">reduces incentives for the first vaccine to enter. Thus, </w:t>
      </w:r>
      <w:r w:rsidR="00051A72">
        <w:rPr>
          <w:rFonts w:eastAsia="Times New Roman"/>
        </w:rPr>
        <w:t xml:space="preserve">structuring a program to incentivize multiple entrants may substantially increase total costs.  </w:t>
      </w:r>
      <w:r w:rsidR="00051A72">
        <w:rPr>
          <w:rFonts w:eastAsia="Times New Roman"/>
        </w:rPr>
        <w:t xml:space="preserve">On the other hand, </w:t>
      </w:r>
      <w:r w:rsidR="000A07B4">
        <w:rPr>
          <w:rFonts w:eastAsia="Times New Roman"/>
        </w:rPr>
        <w:t xml:space="preserve">the </w:t>
      </w:r>
      <w:r w:rsidR="00051A72">
        <w:rPr>
          <w:rFonts w:eastAsia="Times New Roman"/>
        </w:rPr>
        <w:t>design</w:t>
      </w:r>
      <w:r w:rsidR="000A07B4">
        <w:rPr>
          <w:rFonts w:eastAsia="Times New Roman"/>
        </w:rPr>
        <w:t xml:space="preserve"> </w:t>
      </w:r>
      <w:r w:rsidR="00051A72">
        <w:rPr>
          <w:rFonts w:eastAsia="Times New Roman"/>
        </w:rPr>
        <w:t xml:space="preserve">and </w:t>
      </w:r>
      <w:r w:rsidR="000A07B4">
        <w:rPr>
          <w:rFonts w:eastAsia="Times New Roman"/>
        </w:rPr>
        <w:t xml:space="preserve">enforcement of </w:t>
      </w:r>
      <w:r w:rsidR="00051A72">
        <w:rPr>
          <w:rFonts w:eastAsia="Times New Roman"/>
        </w:rPr>
        <w:t>long-</w:t>
      </w:r>
      <w:r w:rsidR="00CD4146">
        <w:rPr>
          <w:rFonts w:eastAsia="Times New Roman"/>
        </w:rPr>
        <w:t>term</w:t>
      </w:r>
      <w:r w:rsidR="00051A72">
        <w:rPr>
          <w:rFonts w:eastAsia="Times New Roman"/>
        </w:rPr>
        <w:t xml:space="preserve"> contracts </w:t>
      </w:r>
      <w:r>
        <w:rPr>
          <w:rFonts w:eastAsia="Times New Roman"/>
        </w:rPr>
        <w:t xml:space="preserve">that hold </w:t>
      </w:r>
      <w:r w:rsidR="00051A72">
        <w:rPr>
          <w:rFonts w:eastAsia="Times New Roman"/>
        </w:rPr>
        <w:t xml:space="preserve">prices close to marginal cost </w:t>
      </w:r>
      <w:r>
        <w:rPr>
          <w:rFonts w:eastAsia="Times New Roman"/>
        </w:rPr>
        <w:t xml:space="preserve">and that assure consistent supply through </w:t>
      </w:r>
      <w:r w:rsidR="00051A72">
        <w:rPr>
          <w:rFonts w:eastAsia="Times New Roman"/>
        </w:rPr>
        <w:t>penalty clauses for supply interruptions</w:t>
      </w:r>
      <w:r>
        <w:rPr>
          <w:rFonts w:eastAsia="Times New Roman"/>
        </w:rPr>
        <w:t xml:space="preserve"> may be </w:t>
      </w:r>
      <w:r w:rsidR="000A07B4">
        <w:rPr>
          <w:rFonts w:eastAsia="Times New Roman"/>
        </w:rPr>
        <w:t>difficult</w:t>
      </w:r>
      <w:r w:rsidR="00051A72">
        <w:rPr>
          <w:rFonts w:eastAsia="Times New Roman"/>
        </w:rPr>
        <w:t>.</w:t>
      </w:r>
      <w:r w:rsidR="00B67816">
        <w:rPr>
          <w:rFonts w:eastAsia="Times New Roman"/>
        </w:rPr>
        <w:t xml:space="preserve"> </w:t>
      </w:r>
    </w:p>
    <w:p w14:paraId="7FE10789" w14:textId="071A4AD2" w:rsidR="00D21F51" w:rsidRPr="00D21F51" w:rsidRDefault="0001567C" w:rsidP="000D0F11">
      <w:pPr>
        <w:pStyle w:val="Heading2"/>
      </w:pPr>
      <w:r>
        <w:t>D</w:t>
      </w:r>
      <w:r w:rsidR="00D21F51" w:rsidRPr="00D21F51">
        <w:t xml:space="preserve">. </w:t>
      </w:r>
      <w:r w:rsidR="000A07B4">
        <w:t xml:space="preserve">Political Economy of </w:t>
      </w:r>
      <w:r w:rsidR="00D21F51" w:rsidRPr="00D21F51">
        <w:t>Target Choice</w:t>
      </w:r>
    </w:p>
    <w:p w14:paraId="76EB14EB" w14:textId="67CCD187" w:rsidR="00D21F51" w:rsidRPr="00D21F51" w:rsidRDefault="000A07B4" w:rsidP="00D21F51">
      <w:pPr>
        <w:rPr>
          <w:rFonts w:eastAsia="Times New Roman"/>
        </w:rPr>
      </w:pPr>
      <w:r>
        <w:rPr>
          <w:rFonts w:eastAsia="Times New Roman"/>
        </w:rPr>
        <w:t>P</w:t>
      </w:r>
      <w:r w:rsidR="00D21F51" w:rsidRPr="00D21F51">
        <w:rPr>
          <w:rFonts w:eastAsia="Times New Roman"/>
        </w:rPr>
        <w:t>olicymakers ma</w:t>
      </w:r>
      <w:r w:rsidR="00DB624F">
        <w:rPr>
          <w:rFonts w:eastAsia="Times New Roman"/>
        </w:rPr>
        <w:t>y wish to explore future AMCs</w:t>
      </w:r>
      <w:r>
        <w:rPr>
          <w:rFonts w:eastAsia="Times New Roman"/>
        </w:rPr>
        <w:t xml:space="preserve"> </w:t>
      </w:r>
      <w:r w:rsidR="00F82C3A">
        <w:rPr>
          <w:rFonts w:eastAsia="Times New Roman"/>
        </w:rPr>
        <w:t>with different design features</w:t>
      </w:r>
      <w:r w:rsidR="00DB624F">
        <w:rPr>
          <w:rFonts w:eastAsia="Times New Roman"/>
        </w:rPr>
        <w:t>. </w:t>
      </w:r>
      <w:r>
        <w:rPr>
          <w:rFonts w:eastAsia="Times New Roman"/>
        </w:rPr>
        <w:t>Kremer, Levin, and Snyder (2019) argue that f</w:t>
      </w:r>
      <w:r w:rsidR="00D21F51" w:rsidRPr="00D21F51">
        <w:rPr>
          <w:rFonts w:eastAsia="Times New Roman"/>
        </w:rPr>
        <w:t>ocusing on a technologically more distant target</w:t>
      </w:r>
      <w:r>
        <w:rPr>
          <w:rFonts w:eastAsia="Times New Roman"/>
        </w:rPr>
        <w:t xml:space="preserve"> might generate </w:t>
      </w:r>
      <w:r w:rsidR="00D21F51" w:rsidRPr="00D21F51">
        <w:rPr>
          <w:rFonts w:eastAsia="Times New Roman"/>
        </w:rPr>
        <w:t>large</w:t>
      </w:r>
      <w:r>
        <w:rPr>
          <w:rFonts w:eastAsia="Times New Roman"/>
        </w:rPr>
        <w:t>r</w:t>
      </w:r>
      <w:r w:rsidR="00D21F51" w:rsidRPr="00D21F51">
        <w:rPr>
          <w:rFonts w:eastAsia="Times New Roman"/>
        </w:rPr>
        <w:t xml:space="preserve"> </w:t>
      </w:r>
      <w:r w:rsidR="00C67BEF">
        <w:rPr>
          <w:rFonts w:eastAsia="Times New Roman"/>
        </w:rPr>
        <w:t xml:space="preserve">overall </w:t>
      </w:r>
      <w:r w:rsidR="00D21F51" w:rsidRPr="00D21F51">
        <w:rPr>
          <w:rFonts w:eastAsia="Times New Roman"/>
        </w:rPr>
        <w:t>benefits. However, political</w:t>
      </w:r>
      <w:r>
        <w:rPr>
          <w:rFonts w:eastAsia="Times New Roman"/>
        </w:rPr>
        <w:t xml:space="preserve"> factors may favor </w:t>
      </w:r>
      <w:r w:rsidR="00D21F51" w:rsidRPr="00D21F51">
        <w:rPr>
          <w:rFonts w:eastAsia="Times New Roman"/>
        </w:rPr>
        <w:t>technologically closer targets. Firms that have a product close to market have stronger incentive</w:t>
      </w:r>
      <w:r w:rsidR="00DB624F">
        <w:rPr>
          <w:rFonts w:eastAsia="Times New Roman"/>
        </w:rPr>
        <w:t>s</w:t>
      </w:r>
      <w:r w:rsidR="00D21F51" w:rsidRPr="00D21F51">
        <w:rPr>
          <w:rFonts w:eastAsia="Times New Roman"/>
        </w:rPr>
        <w:t xml:space="preserve"> t</w:t>
      </w:r>
      <w:r w:rsidR="00DB624F">
        <w:rPr>
          <w:rFonts w:eastAsia="Times New Roman"/>
        </w:rPr>
        <w:t xml:space="preserve">o </w:t>
      </w:r>
      <w:r>
        <w:rPr>
          <w:rFonts w:eastAsia="Times New Roman"/>
        </w:rPr>
        <w:t xml:space="preserve">engage politically </w:t>
      </w:r>
      <w:r w:rsidR="00DB624F">
        <w:rPr>
          <w:rFonts w:eastAsia="Times New Roman"/>
        </w:rPr>
        <w:t xml:space="preserve">than firms with early-stage ideas for distant </w:t>
      </w:r>
      <w:r w:rsidR="00D21F51" w:rsidRPr="00D21F51">
        <w:rPr>
          <w:rFonts w:eastAsia="Times New Roman"/>
        </w:rPr>
        <w:t xml:space="preserve">targets. Moreover, while an AMC for a distant product </w:t>
      </w:r>
      <w:r>
        <w:rPr>
          <w:rFonts w:eastAsia="Times New Roman"/>
        </w:rPr>
        <w:t xml:space="preserve">does not impose substantial financial costs unless a product is developed, </w:t>
      </w:r>
      <w:r w:rsidR="00D21F51" w:rsidRPr="00D21F51">
        <w:rPr>
          <w:rFonts w:eastAsia="Times New Roman"/>
        </w:rPr>
        <w:t xml:space="preserve">politicians </w:t>
      </w:r>
      <w:r w:rsidR="00DB624F">
        <w:rPr>
          <w:rFonts w:eastAsia="Times New Roman"/>
        </w:rPr>
        <w:t xml:space="preserve">looking for a </w:t>
      </w:r>
      <w:r w:rsidR="00C67BEF">
        <w:rPr>
          <w:rFonts w:eastAsia="Times New Roman"/>
        </w:rPr>
        <w:t>“</w:t>
      </w:r>
      <w:r w:rsidR="00DB624F">
        <w:rPr>
          <w:rFonts w:eastAsia="Times New Roman"/>
        </w:rPr>
        <w:t>win</w:t>
      </w:r>
      <w:r w:rsidR="00C67BEF">
        <w:rPr>
          <w:rFonts w:eastAsia="Times New Roman"/>
        </w:rPr>
        <w:t>”</w:t>
      </w:r>
      <w:r w:rsidR="00D21F51" w:rsidRPr="00D21F51">
        <w:rPr>
          <w:rFonts w:eastAsia="Times New Roman"/>
        </w:rPr>
        <w:t xml:space="preserve"> may be reluctant to expend significant </w:t>
      </w:r>
      <w:r w:rsidR="000D0F11">
        <w:rPr>
          <w:rFonts w:eastAsia="Times New Roman"/>
        </w:rPr>
        <w:t xml:space="preserve">effort </w:t>
      </w:r>
      <w:r w:rsidR="00D21F51" w:rsidRPr="00D21F51">
        <w:rPr>
          <w:rFonts w:eastAsia="Times New Roman"/>
        </w:rPr>
        <w:t xml:space="preserve">on </w:t>
      </w:r>
      <w:r w:rsidR="000D0F11">
        <w:rPr>
          <w:rFonts w:eastAsia="Times New Roman"/>
        </w:rPr>
        <w:t xml:space="preserve">a project </w:t>
      </w:r>
      <w:r w:rsidR="00D21F51" w:rsidRPr="00D21F51">
        <w:rPr>
          <w:rFonts w:eastAsia="Times New Roman"/>
        </w:rPr>
        <w:t xml:space="preserve">that only pays off once they have left office, if at all. </w:t>
      </w:r>
    </w:p>
    <w:p w14:paraId="338E68D8" w14:textId="09694260" w:rsidR="00D21F51" w:rsidRPr="00D21F51" w:rsidRDefault="000A07B4" w:rsidP="00D21F51">
      <w:pPr>
        <w:rPr>
          <w:rFonts w:eastAsia="Times New Roman"/>
        </w:rPr>
      </w:pPr>
      <w:r>
        <w:rPr>
          <w:rFonts w:eastAsia="Times New Roman"/>
        </w:rPr>
        <w:t xml:space="preserve">One solution </w:t>
      </w:r>
      <w:r w:rsidR="00032B0A">
        <w:rPr>
          <w:rFonts w:eastAsia="Times New Roman"/>
        </w:rPr>
        <w:t xml:space="preserve">might be to simultaneously launch a bundle of AMCs that include some eye-catching long-term targets with </w:t>
      </w:r>
      <w:r w:rsidR="00CB5E29">
        <w:rPr>
          <w:rFonts w:eastAsia="Times New Roman"/>
        </w:rPr>
        <w:t xml:space="preserve">some </w:t>
      </w:r>
      <w:r w:rsidR="00032B0A">
        <w:rPr>
          <w:rFonts w:eastAsia="Times New Roman"/>
        </w:rPr>
        <w:t>short</w:t>
      </w:r>
      <w:r w:rsidR="00CB5E29">
        <w:rPr>
          <w:rFonts w:eastAsia="Times New Roman"/>
        </w:rPr>
        <w:t xml:space="preserve">-term targets that will deliver quick wins. </w:t>
      </w:r>
      <w:r w:rsidR="00032B0A">
        <w:rPr>
          <w:rFonts w:eastAsia="Times New Roman"/>
        </w:rPr>
        <w:t xml:space="preserve"> </w:t>
      </w:r>
    </w:p>
    <w:p w14:paraId="2F939339" w14:textId="004A6D83" w:rsidR="00D21F51" w:rsidRDefault="00D21F51" w:rsidP="00802759">
      <w:pPr>
        <w:keepNext/>
        <w:widowControl w:val="0"/>
        <w:rPr>
          <w:rFonts w:eastAsia="Times New Roman"/>
        </w:rPr>
      </w:pPr>
      <w:r w:rsidRPr="00D21F51">
        <w:rPr>
          <w:rFonts w:eastAsia="Times New Roman"/>
        </w:rPr>
        <w:t xml:space="preserve">When technologically close targets are chosen, there are further political considerations. There may be strong industry lobbying around product specifications to include </w:t>
      </w:r>
      <w:r w:rsidR="008E67E0">
        <w:rPr>
          <w:rFonts w:eastAsia="Times New Roman"/>
        </w:rPr>
        <w:t xml:space="preserve">their approaches and exclude potential </w:t>
      </w:r>
      <w:r w:rsidR="008E67E0">
        <w:rPr>
          <w:rFonts w:eastAsia="Times New Roman"/>
        </w:rPr>
        <w:lastRenderedPageBreak/>
        <w:t>rivals’</w:t>
      </w:r>
      <w:r w:rsidRPr="00D21F51">
        <w:rPr>
          <w:rFonts w:eastAsia="Times New Roman"/>
        </w:rPr>
        <w:t>. If the process involves first selecting a disease target and then designing the AMC details</w:t>
      </w:r>
      <w:r w:rsidR="008E67E0">
        <w:rPr>
          <w:rFonts w:eastAsia="Times New Roman"/>
        </w:rPr>
        <w:t>, more weight</w:t>
      </w:r>
      <w:r w:rsidRPr="00D21F51">
        <w:rPr>
          <w:rFonts w:eastAsia="Times New Roman"/>
        </w:rPr>
        <w:t xml:space="preserve"> </w:t>
      </w:r>
      <w:r w:rsidR="008E67E0">
        <w:rPr>
          <w:rFonts w:eastAsia="Times New Roman"/>
        </w:rPr>
        <w:t xml:space="preserve">in </w:t>
      </w:r>
      <w:r w:rsidRPr="00D21F51">
        <w:rPr>
          <w:rFonts w:eastAsia="Times New Roman"/>
        </w:rPr>
        <w:t xml:space="preserve">the second stage </w:t>
      </w:r>
      <w:r w:rsidR="008E67E0">
        <w:rPr>
          <w:rFonts w:eastAsia="Times New Roman"/>
        </w:rPr>
        <w:t xml:space="preserve">will be put on getting the </w:t>
      </w:r>
      <w:r w:rsidRPr="00D21F51">
        <w:rPr>
          <w:rFonts w:eastAsia="Times New Roman"/>
        </w:rPr>
        <w:t>product to market</w:t>
      </w:r>
      <w:r w:rsidR="008E67E0">
        <w:rPr>
          <w:rFonts w:eastAsia="Times New Roman"/>
        </w:rPr>
        <w:t xml:space="preserve"> than </w:t>
      </w:r>
      <w:r w:rsidRPr="00D21F51">
        <w:rPr>
          <w:rFonts w:eastAsia="Times New Roman"/>
        </w:rPr>
        <w:t>saving money</w:t>
      </w:r>
      <w:r w:rsidR="008E67E0">
        <w:rPr>
          <w:rFonts w:eastAsia="Times New Roman"/>
        </w:rPr>
        <w:t xml:space="preserve"> that is already earmarked</w:t>
      </w:r>
      <w:r w:rsidRPr="00D21F51">
        <w:rPr>
          <w:rFonts w:eastAsia="Times New Roman"/>
        </w:rPr>
        <w:t>. It may be possible to address some of these concerns by broadening the set of possible targets, or having several groups design AMCs targeti</w:t>
      </w:r>
      <w:r w:rsidR="002A2265">
        <w:rPr>
          <w:rFonts w:eastAsia="Times New Roman"/>
        </w:rPr>
        <w:t xml:space="preserve">ng different products and </w:t>
      </w:r>
      <w:r w:rsidRPr="00D21F51">
        <w:rPr>
          <w:rFonts w:eastAsia="Times New Roman"/>
        </w:rPr>
        <w:t>using competitive mechanisms to decide which receive</w:t>
      </w:r>
      <w:r w:rsidR="008E67E0">
        <w:rPr>
          <w:rFonts w:eastAsia="Times New Roman"/>
        </w:rPr>
        <w:t>s</w:t>
      </w:r>
      <w:r w:rsidRPr="00D21F51">
        <w:rPr>
          <w:rFonts w:eastAsia="Times New Roman"/>
        </w:rPr>
        <w:t xml:space="preserve"> funding. </w:t>
      </w:r>
    </w:p>
    <w:p w14:paraId="60611D1B" w14:textId="1354F5F4" w:rsidR="00967950" w:rsidRPr="006900BF" w:rsidRDefault="00967950" w:rsidP="00967950">
      <w:pPr>
        <w:pStyle w:val="Heading1"/>
      </w:pPr>
      <w:r>
        <w:t>IV</w:t>
      </w:r>
      <w:r w:rsidRPr="006900BF">
        <w:t xml:space="preserve">. </w:t>
      </w:r>
      <w:r w:rsidR="00D52293">
        <w:t>Conclusions</w:t>
      </w:r>
    </w:p>
    <w:p w14:paraId="55AB8A8D" w14:textId="71E0631E" w:rsidR="00D52293" w:rsidRDefault="00D52293" w:rsidP="00AF7339">
      <w:pPr>
        <w:pStyle w:val="ReferenceHeading"/>
        <w:widowControl w:val="0"/>
        <w:spacing w:before="240"/>
        <w:jc w:val="both"/>
        <w:rPr>
          <w:caps w:val="0"/>
        </w:rPr>
      </w:pPr>
      <w:r>
        <w:rPr>
          <w:rFonts w:eastAsia="Times New Roman"/>
          <w:caps w:val="0"/>
        </w:rPr>
        <w:t>The AMC moved from theory to practice in its first decade, and we now have a decade of learning from the pneumococcal pilot. While aspects of program evaluation are complicated, the best estimates suggest that the introduction of PCV saved 700,000 lives at a highly favorable cost. Iterations likely could improve AMC design, just as market designs have been refined in settings such as school choice and radio spectrum allocation. Policymakers may wish to consider offering a set of AMCs, perhaps each smaller in scale than the pilot pneumococcus AMC, where potential targets could range beyond health to address</w:t>
      </w:r>
      <w:r w:rsidRPr="006138F1">
        <w:rPr>
          <w:rFonts w:eastAsia="Times New Roman"/>
          <w:caps w:val="0"/>
        </w:rPr>
        <w:t xml:space="preserve"> agricultural </w:t>
      </w:r>
      <w:r>
        <w:rPr>
          <w:rFonts w:eastAsia="Times New Roman"/>
          <w:caps w:val="0"/>
        </w:rPr>
        <w:t xml:space="preserve">or sustainability </w:t>
      </w:r>
      <w:r w:rsidRPr="006138F1">
        <w:rPr>
          <w:rFonts w:eastAsia="Times New Roman"/>
          <w:caps w:val="0"/>
        </w:rPr>
        <w:t xml:space="preserve">problems specific to developing countries. </w:t>
      </w:r>
    </w:p>
    <w:p w14:paraId="060FDA21" w14:textId="3256CB4B" w:rsidR="00002AEF" w:rsidRPr="005D342E" w:rsidRDefault="00002AEF" w:rsidP="00AF7339">
      <w:pPr>
        <w:pStyle w:val="ReferenceHeading"/>
        <w:widowControl w:val="0"/>
        <w:spacing w:before="240"/>
      </w:pPr>
      <w:r w:rsidRPr="005D342E">
        <w:t>REFERENCES</w:t>
      </w:r>
    </w:p>
    <w:p w14:paraId="0BB5D48C" w14:textId="4DB750BF" w:rsidR="005202CB" w:rsidRPr="005202CB" w:rsidRDefault="005202CB" w:rsidP="00AF7339">
      <w:pPr>
        <w:pStyle w:val="References"/>
        <w:keepNext/>
        <w:rPr>
          <w:bCs/>
        </w:rPr>
      </w:pPr>
      <w:r>
        <w:rPr>
          <w:b/>
          <w:bCs/>
        </w:rPr>
        <w:t xml:space="preserve">Barder, </w:t>
      </w:r>
      <w:r w:rsidR="0013078F">
        <w:rPr>
          <w:b/>
          <w:bCs/>
        </w:rPr>
        <w:t>Owen</w:t>
      </w:r>
      <w:r>
        <w:rPr>
          <w:b/>
          <w:bCs/>
        </w:rPr>
        <w:t xml:space="preserve">, </w:t>
      </w:r>
      <w:r w:rsidR="0013078F">
        <w:rPr>
          <w:b/>
          <w:bCs/>
        </w:rPr>
        <w:t xml:space="preserve">Michael </w:t>
      </w:r>
      <w:r>
        <w:rPr>
          <w:b/>
          <w:bCs/>
        </w:rPr>
        <w:t>Kremer</w:t>
      </w:r>
      <w:r w:rsidR="004A589C">
        <w:rPr>
          <w:b/>
          <w:bCs/>
        </w:rPr>
        <w:t xml:space="preserve">, and Ruth </w:t>
      </w:r>
      <w:r w:rsidR="004A589C">
        <w:rPr>
          <w:b/>
          <w:bCs/>
        </w:rPr>
        <w:t>Levine</w:t>
      </w:r>
      <w:r>
        <w:rPr>
          <w:b/>
          <w:bCs/>
        </w:rPr>
        <w:t xml:space="preserve">. </w:t>
      </w:r>
      <w:r>
        <w:rPr>
          <w:bCs/>
        </w:rPr>
        <w:t xml:space="preserve">2005. </w:t>
      </w:r>
      <w:r w:rsidRPr="006C1CF7">
        <w:rPr>
          <w:bCs/>
          <w:i/>
        </w:rPr>
        <w:t>Making Markets for Vaccines: Ideas to Action</w:t>
      </w:r>
      <w:r>
        <w:rPr>
          <w:bCs/>
        </w:rPr>
        <w:t xml:space="preserve">. </w:t>
      </w:r>
      <w:r w:rsidR="0013078F">
        <w:rPr>
          <w:bCs/>
        </w:rPr>
        <w:t xml:space="preserve">Washington, DC: </w:t>
      </w:r>
      <w:r w:rsidRPr="005202CB">
        <w:rPr>
          <w:bCs/>
        </w:rPr>
        <w:t>Center for Global Development</w:t>
      </w:r>
    </w:p>
    <w:p w14:paraId="19C5E5B8" w14:textId="6345E6D8" w:rsidR="006138F1" w:rsidRDefault="006138F1" w:rsidP="00802759">
      <w:pPr>
        <w:pStyle w:val="References"/>
        <w:keepNext/>
      </w:pPr>
      <w:r w:rsidRPr="006138F1">
        <w:rPr>
          <w:b/>
          <w:bCs/>
        </w:rPr>
        <w:t>Centers for Disease Control and Prevention.</w:t>
      </w:r>
      <w:r>
        <w:t xml:space="preserve"> 2019. </w:t>
      </w:r>
      <w:r w:rsidRPr="006138F1">
        <w:rPr>
          <w:i/>
          <w:iCs/>
        </w:rPr>
        <w:t>CDC Vaccine Price List</w:t>
      </w:r>
      <w:r>
        <w:t xml:space="preserve">. https://www.cdc.gov/vaccines/programs/vfc/awardees/vaccine-management/price-list/index.html. </w:t>
      </w:r>
    </w:p>
    <w:p w14:paraId="28A6A763" w14:textId="73B8A553" w:rsidR="006138F1" w:rsidRDefault="006138F1" w:rsidP="00802759">
      <w:pPr>
        <w:pStyle w:val="References"/>
        <w:keepNext/>
      </w:pPr>
      <w:r w:rsidRPr="006138F1">
        <w:rPr>
          <w:b/>
          <w:bCs/>
        </w:rPr>
        <w:t>G</w:t>
      </w:r>
      <w:r w:rsidR="000B5599">
        <w:rPr>
          <w:b/>
          <w:bCs/>
        </w:rPr>
        <w:t>AVI</w:t>
      </w:r>
      <w:r w:rsidRPr="006138F1">
        <w:rPr>
          <w:b/>
          <w:bCs/>
        </w:rPr>
        <w:t>.</w:t>
      </w:r>
      <w:r>
        <w:t xml:space="preserve"> 2019. </w:t>
      </w:r>
      <w:r w:rsidRPr="006138F1">
        <w:rPr>
          <w:i/>
          <w:iCs/>
        </w:rPr>
        <w:t xml:space="preserve">Advance Market Commitment for Pneumococcal Vaccines: </w:t>
      </w:r>
      <w:r w:rsidR="00EE0146">
        <w:rPr>
          <w:i/>
          <w:iCs/>
        </w:rPr>
        <w:t xml:space="preserve">2018 </w:t>
      </w:r>
      <w:r w:rsidRPr="006138F1">
        <w:rPr>
          <w:i/>
          <w:iCs/>
        </w:rPr>
        <w:t>Annual</w:t>
      </w:r>
      <w:r w:rsidR="00EE0146">
        <w:rPr>
          <w:i/>
          <w:iCs/>
        </w:rPr>
        <w:t xml:space="preserve"> Report</w:t>
      </w:r>
      <w:r w:rsidRPr="006138F1">
        <w:rPr>
          <w:i/>
          <w:iCs/>
        </w:rPr>
        <w:t>.</w:t>
      </w:r>
      <w:r>
        <w:t xml:space="preserve"> Geneva.</w:t>
      </w:r>
    </w:p>
    <w:p w14:paraId="1D6DCD9B" w14:textId="5FADAC2A" w:rsidR="0013078F" w:rsidRDefault="006138F1" w:rsidP="00802759">
      <w:pPr>
        <w:pStyle w:val="References"/>
        <w:keepNext/>
      </w:pPr>
      <w:r w:rsidRPr="000D776C">
        <w:rPr>
          <w:b/>
          <w:bCs/>
        </w:rPr>
        <w:t>Kremer, Michael</w:t>
      </w:r>
      <w:r w:rsidR="00A62212">
        <w:rPr>
          <w:b/>
          <w:bCs/>
        </w:rPr>
        <w:t>,</w:t>
      </w:r>
      <w:r w:rsidRPr="000D776C">
        <w:rPr>
          <w:b/>
          <w:bCs/>
        </w:rPr>
        <w:t xml:space="preserve"> and Rachel Glennerster.</w:t>
      </w:r>
      <w:r>
        <w:t xml:space="preserve"> 2004. </w:t>
      </w:r>
      <w:r w:rsidRPr="000D776C">
        <w:rPr>
          <w:i/>
          <w:iCs/>
        </w:rPr>
        <w:t>Strong Medicine: Creating Incentives for Pharmaceutical Research on Neglected Diseases.</w:t>
      </w:r>
      <w:r>
        <w:t xml:space="preserve"> Princeton: Princeton University Press.</w:t>
      </w:r>
    </w:p>
    <w:p w14:paraId="183518A7" w14:textId="291D1C53" w:rsidR="00D21F51" w:rsidRDefault="006138F1" w:rsidP="00802759">
      <w:pPr>
        <w:pStyle w:val="References"/>
        <w:keepNext/>
      </w:pPr>
      <w:r w:rsidRPr="000D776C">
        <w:rPr>
          <w:b/>
          <w:bCs/>
        </w:rPr>
        <w:t xml:space="preserve">Kremer, Michael, Jonathan Levin, and Christopher M. Snyder. </w:t>
      </w:r>
      <w:r>
        <w:t>2019. “Designing an Advanced Market Commitment for New Vaccines,” Harvard University working pape</w:t>
      </w:r>
      <w:r w:rsidR="003763B6">
        <w:t>r.</w:t>
      </w:r>
    </w:p>
    <w:p w14:paraId="5CD45AB7" w14:textId="1E808057" w:rsidR="00FC1E0A" w:rsidRDefault="00FC1E0A" w:rsidP="00802759">
      <w:pPr>
        <w:pStyle w:val="References"/>
        <w:keepNext/>
      </w:pPr>
      <w:proofErr w:type="spellStart"/>
      <w:r w:rsidRPr="00FC1E0A">
        <w:rPr>
          <w:b/>
          <w:bCs/>
        </w:rPr>
        <w:t>Tasslimi</w:t>
      </w:r>
      <w:proofErr w:type="spellEnd"/>
      <w:r w:rsidRPr="00FC1E0A">
        <w:rPr>
          <w:b/>
          <w:bCs/>
        </w:rPr>
        <w:t xml:space="preserve"> </w:t>
      </w:r>
      <w:proofErr w:type="spellStart"/>
      <w:r w:rsidRPr="00FC1E0A">
        <w:rPr>
          <w:b/>
          <w:bCs/>
        </w:rPr>
        <w:t>A</w:t>
      </w:r>
      <w:r>
        <w:rPr>
          <w:b/>
          <w:bCs/>
        </w:rPr>
        <w:t>zadeh</w:t>
      </w:r>
      <w:proofErr w:type="spellEnd"/>
      <w:r>
        <w:rPr>
          <w:b/>
          <w:bCs/>
        </w:rPr>
        <w:t>, et al.</w:t>
      </w:r>
      <w:r w:rsidR="00617B55">
        <w:rPr>
          <w:b/>
          <w:bCs/>
        </w:rPr>
        <w:t xml:space="preserve"> </w:t>
      </w:r>
      <w:r w:rsidRPr="00617B55">
        <w:t>2011</w:t>
      </w:r>
      <w:r w:rsidR="00E44BEC">
        <w:t>.</w:t>
      </w:r>
      <w:r w:rsidR="00617B55">
        <w:t xml:space="preserve"> </w:t>
      </w:r>
      <w:r w:rsidRPr="00617B55">
        <w:t>“</w:t>
      </w:r>
      <w:r w:rsidRPr="00FC1E0A">
        <w:t xml:space="preserve">Cost </w:t>
      </w:r>
      <w:r>
        <w:t>E</w:t>
      </w:r>
      <w:r w:rsidRPr="00FC1E0A">
        <w:t xml:space="preserve">ffectiveness of </w:t>
      </w:r>
      <w:r>
        <w:t>C</w:t>
      </w:r>
      <w:r w:rsidRPr="00FC1E0A">
        <w:t xml:space="preserve">hild </w:t>
      </w:r>
      <w:r>
        <w:t>P</w:t>
      </w:r>
      <w:r w:rsidRPr="00FC1E0A">
        <w:t xml:space="preserve">neumococcal </w:t>
      </w:r>
      <w:r>
        <w:t>C</w:t>
      </w:r>
      <w:r w:rsidRPr="00FC1E0A">
        <w:t xml:space="preserve">onjugate </w:t>
      </w:r>
      <w:r>
        <w:t>V</w:t>
      </w:r>
      <w:r w:rsidRPr="00FC1E0A">
        <w:t>accination in GAVI-</w:t>
      </w:r>
      <w:r>
        <w:t>Eligible</w:t>
      </w:r>
      <w:r w:rsidRPr="00FC1E0A">
        <w:t xml:space="preserve"> </w:t>
      </w:r>
      <w:r>
        <w:t>C</w:t>
      </w:r>
      <w:r w:rsidRPr="00FC1E0A">
        <w:t>ountries</w:t>
      </w:r>
      <w:r>
        <w:t xml:space="preserve">,” </w:t>
      </w:r>
      <w:r w:rsidRPr="00FC1E0A">
        <w:rPr>
          <w:i/>
          <w:iCs/>
        </w:rPr>
        <w:t>International Health</w:t>
      </w:r>
      <w:r>
        <w:t xml:space="preserve"> </w:t>
      </w:r>
      <w:r w:rsidRPr="00FC1E0A">
        <w:t>3:</w:t>
      </w:r>
      <w:r>
        <w:t xml:space="preserve"> </w:t>
      </w:r>
      <w:r w:rsidRPr="00FC1E0A">
        <w:t>259</w:t>
      </w:r>
      <w:r>
        <w:t>–</w:t>
      </w:r>
      <w:r w:rsidRPr="00FC1E0A">
        <w:t>69.</w:t>
      </w:r>
    </w:p>
    <w:p w14:paraId="7331A179" w14:textId="0DAB65DB" w:rsidR="00BA380E" w:rsidRDefault="000F28A5" w:rsidP="00802759">
      <w:pPr>
        <w:pStyle w:val="References"/>
        <w:keepNext/>
        <w:ind w:left="0" w:firstLine="0"/>
      </w:pPr>
      <w:r w:rsidRPr="000F28A5">
        <w:rPr>
          <w:b/>
          <w:bCs/>
        </w:rPr>
        <w:t>World Health Organization.</w:t>
      </w:r>
      <w:r>
        <w:t xml:space="preserve"> 2007. “Pneumococcal Conjugate Vaccine for Childhood Immunization—WHO Position Paper,” </w:t>
      </w:r>
      <w:r w:rsidRPr="000F28A5">
        <w:rPr>
          <w:i/>
          <w:iCs/>
        </w:rPr>
        <w:t>Weekly Epidemiological Record</w:t>
      </w:r>
      <w:r>
        <w:t xml:space="preserve"> 82: 93–104</w:t>
      </w:r>
      <w:r w:rsidR="006F17A9">
        <w:t>.</w:t>
      </w:r>
    </w:p>
    <w:sectPr w:rsidR="00BA380E" w:rsidSect="0098115A">
      <w:headerReference w:type="even" r:id="rId11"/>
      <w:type w:val="continuous"/>
      <w:pgSz w:w="12240" w:h="15840" w:code="1"/>
      <w:pgMar w:top="1440" w:right="1440" w:bottom="1440" w:left="144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9B09" w14:textId="77777777" w:rsidR="00325D10" w:rsidRDefault="00325D10">
      <w:pPr>
        <w:spacing w:line="240" w:lineRule="auto"/>
      </w:pPr>
      <w:r>
        <w:separator/>
      </w:r>
    </w:p>
  </w:endnote>
  <w:endnote w:type="continuationSeparator" w:id="0">
    <w:p w14:paraId="3154BF57" w14:textId="77777777" w:rsidR="00325D10" w:rsidRDefault="00325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57B9" w14:textId="77777777" w:rsidR="00325D10" w:rsidRDefault="00325D10" w:rsidP="00002AEF"/>
  </w:footnote>
  <w:footnote w:type="continuationSeparator" w:id="0">
    <w:p w14:paraId="26D20559" w14:textId="77777777" w:rsidR="00325D10" w:rsidRDefault="00325D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A97E" w14:textId="77777777" w:rsidR="005D2E44" w:rsidRDefault="005D2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700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1CA3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EE08D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1E8F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88E85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98084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9CC2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79860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8EEA45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760A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3526F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836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9F7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37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2D703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861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A189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67049"/>
    <w:multiLevelType w:val="hybridMultilevel"/>
    <w:tmpl w:val="013EF3AA"/>
    <w:lvl w:ilvl="0" w:tplc="4A667A26">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15:restartNumberingAfterBreak="0">
    <w:nsid w:val="5E6F18FD"/>
    <w:multiLevelType w:val="hybridMultilevel"/>
    <w:tmpl w:val="CBDE9A02"/>
    <w:lvl w:ilvl="0" w:tplc="D7649C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54DAC"/>
    <w:multiLevelType w:val="hybridMultilevel"/>
    <w:tmpl w:val="00CA8A7A"/>
    <w:lvl w:ilvl="0" w:tplc="C8D4E1E6">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00D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003031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2FB66D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6B7DFF"/>
    <w:multiLevelType w:val="multilevel"/>
    <w:tmpl w:val="FD2630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8"/>
  </w:num>
  <w:num w:numId="3">
    <w:abstractNumId w:val="13"/>
  </w:num>
  <w:num w:numId="4">
    <w:abstractNumId w:val="0"/>
  </w:num>
  <w:num w:numId="5">
    <w:abstractNumId w:val="4"/>
  </w:num>
  <w:num w:numId="6">
    <w:abstractNumId w:val="3"/>
  </w:num>
  <w:num w:numId="7">
    <w:abstractNumId w:val="2"/>
  </w:num>
  <w:num w:numId="8">
    <w:abstractNumId w:val="1"/>
  </w:num>
  <w:num w:numId="9">
    <w:abstractNumId w:val="9"/>
  </w:num>
  <w:num w:numId="10">
    <w:abstractNumId w:val="8"/>
  </w:num>
  <w:num w:numId="11">
    <w:abstractNumId w:val="7"/>
  </w:num>
  <w:num w:numId="12">
    <w:abstractNumId w:val="6"/>
  </w:num>
  <w:num w:numId="13">
    <w:abstractNumId w:val="5"/>
  </w:num>
  <w:num w:numId="14">
    <w:abstractNumId w:val="12"/>
  </w:num>
  <w:num w:numId="15">
    <w:abstractNumId w:val="15"/>
  </w:num>
  <w:num w:numId="16">
    <w:abstractNumId w:val="23"/>
  </w:num>
  <w:num w:numId="17">
    <w:abstractNumId w:val="19"/>
  </w:num>
  <w:num w:numId="18">
    <w:abstractNumId w:val="11"/>
  </w:num>
  <w:num w:numId="19">
    <w:abstractNumId w:val="16"/>
  </w:num>
  <w:num w:numId="20">
    <w:abstractNumId w:val="21"/>
  </w:num>
  <w:num w:numId="21">
    <w:abstractNumId w:val="22"/>
  </w:num>
  <w:num w:numId="22">
    <w:abstractNumId w:val="17"/>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A0"/>
    <w:rsid w:val="00002AEF"/>
    <w:rsid w:val="000072FA"/>
    <w:rsid w:val="00013077"/>
    <w:rsid w:val="00013447"/>
    <w:rsid w:val="0001567C"/>
    <w:rsid w:val="00024024"/>
    <w:rsid w:val="00030C69"/>
    <w:rsid w:val="00031573"/>
    <w:rsid w:val="00032B0A"/>
    <w:rsid w:val="00033F5D"/>
    <w:rsid w:val="00051446"/>
    <w:rsid w:val="00051A72"/>
    <w:rsid w:val="00053FDB"/>
    <w:rsid w:val="00074BFA"/>
    <w:rsid w:val="000811CF"/>
    <w:rsid w:val="000862E0"/>
    <w:rsid w:val="00087A7C"/>
    <w:rsid w:val="000931F2"/>
    <w:rsid w:val="0009351F"/>
    <w:rsid w:val="0009412E"/>
    <w:rsid w:val="000A07B4"/>
    <w:rsid w:val="000A239B"/>
    <w:rsid w:val="000A2E1D"/>
    <w:rsid w:val="000B0EA4"/>
    <w:rsid w:val="000B34D2"/>
    <w:rsid w:val="000B5599"/>
    <w:rsid w:val="000B5C6D"/>
    <w:rsid w:val="000B7A42"/>
    <w:rsid w:val="000C546E"/>
    <w:rsid w:val="000D0F11"/>
    <w:rsid w:val="000D776C"/>
    <w:rsid w:val="000E18EA"/>
    <w:rsid w:val="000F28A5"/>
    <w:rsid w:val="000F7305"/>
    <w:rsid w:val="00104998"/>
    <w:rsid w:val="00107FA7"/>
    <w:rsid w:val="00114A63"/>
    <w:rsid w:val="00123AFB"/>
    <w:rsid w:val="00130778"/>
    <w:rsid w:val="0013078F"/>
    <w:rsid w:val="00133CA8"/>
    <w:rsid w:val="00135E41"/>
    <w:rsid w:val="001368FE"/>
    <w:rsid w:val="00152BF2"/>
    <w:rsid w:val="0015555E"/>
    <w:rsid w:val="00155608"/>
    <w:rsid w:val="00157CAF"/>
    <w:rsid w:val="00172E3E"/>
    <w:rsid w:val="00173765"/>
    <w:rsid w:val="00181D92"/>
    <w:rsid w:val="00184E9F"/>
    <w:rsid w:val="0019029C"/>
    <w:rsid w:val="0019258E"/>
    <w:rsid w:val="0019468C"/>
    <w:rsid w:val="001958BB"/>
    <w:rsid w:val="001A1283"/>
    <w:rsid w:val="001A25DD"/>
    <w:rsid w:val="001A5333"/>
    <w:rsid w:val="001A53EF"/>
    <w:rsid w:val="001C50E8"/>
    <w:rsid w:val="001C7E46"/>
    <w:rsid w:val="001D6180"/>
    <w:rsid w:val="001D6B07"/>
    <w:rsid w:val="001D7F2C"/>
    <w:rsid w:val="00207AB8"/>
    <w:rsid w:val="00213C7D"/>
    <w:rsid w:val="00225C5F"/>
    <w:rsid w:val="00226591"/>
    <w:rsid w:val="00233A98"/>
    <w:rsid w:val="00235687"/>
    <w:rsid w:val="00253D8F"/>
    <w:rsid w:val="002554FB"/>
    <w:rsid w:val="002648DF"/>
    <w:rsid w:val="002719C7"/>
    <w:rsid w:val="002774E6"/>
    <w:rsid w:val="00277A5A"/>
    <w:rsid w:val="00284EE0"/>
    <w:rsid w:val="00285581"/>
    <w:rsid w:val="00287600"/>
    <w:rsid w:val="002A12A0"/>
    <w:rsid w:val="002A2265"/>
    <w:rsid w:val="002A57AB"/>
    <w:rsid w:val="002B205C"/>
    <w:rsid w:val="002C5A0C"/>
    <w:rsid w:val="002E02DB"/>
    <w:rsid w:val="002E2E35"/>
    <w:rsid w:val="002E4297"/>
    <w:rsid w:val="002E4536"/>
    <w:rsid w:val="002E61E2"/>
    <w:rsid w:val="002F32D4"/>
    <w:rsid w:val="002F44ED"/>
    <w:rsid w:val="002F7C31"/>
    <w:rsid w:val="0030723A"/>
    <w:rsid w:val="0031029C"/>
    <w:rsid w:val="00325D10"/>
    <w:rsid w:val="00335F4E"/>
    <w:rsid w:val="003365BE"/>
    <w:rsid w:val="00347CD3"/>
    <w:rsid w:val="0036162C"/>
    <w:rsid w:val="003648E9"/>
    <w:rsid w:val="003652DE"/>
    <w:rsid w:val="003674FA"/>
    <w:rsid w:val="003742E6"/>
    <w:rsid w:val="003763B6"/>
    <w:rsid w:val="00384B99"/>
    <w:rsid w:val="00387544"/>
    <w:rsid w:val="00390813"/>
    <w:rsid w:val="0039489F"/>
    <w:rsid w:val="003A0116"/>
    <w:rsid w:val="003A6BF4"/>
    <w:rsid w:val="003B3B95"/>
    <w:rsid w:val="003B425B"/>
    <w:rsid w:val="003E5C12"/>
    <w:rsid w:val="003E6496"/>
    <w:rsid w:val="003F31EF"/>
    <w:rsid w:val="004002AE"/>
    <w:rsid w:val="004201B3"/>
    <w:rsid w:val="00424E3D"/>
    <w:rsid w:val="004419A5"/>
    <w:rsid w:val="00443A60"/>
    <w:rsid w:val="004459F6"/>
    <w:rsid w:val="00446C88"/>
    <w:rsid w:val="004524CF"/>
    <w:rsid w:val="00460501"/>
    <w:rsid w:val="0046449D"/>
    <w:rsid w:val="00470DC6"/>
    <w:rsid w:val="004712E4"/>
    <w:rsid w:val="004715D6"/>
    <w:rsid w:val="00486A42"/>
    <w:rsid w:val="00490299"/>
    <w:rsid w:val="00493BF9"/>
    <w:rsid w:val="004963EE"/>
    <w:rsid w:val="004A06FC"/>
    <w:rsid w:val="004A2CF8"/>
    <w:rsid w:val="004A589C"/>
    <w:rsid w:val="004B7C7F"/>
    <w:rsid w:val="004C0E49"/>
    <w:rsid w:val="004D5A82"/>
    <w:rsid w:val="004E722D"/>
    <w:rsid w:val="004F2809"/>
    <w:rsid w:val="004F3204"/>
    <w:rsid w:val="00507A7B"/>
    <w:rsid w:val="00510109"/>
    <w:rsid w:val="00510199"/>
    <w:rsid w:val="00513D40"/>
    <w:rsid w:val="005202CB"/>
    <w:rsid w:val="0053514D"/>
    <w:rsid w:val="00541744"/>
    <w:rsid w:val="0054391A"/>
    <w:rsid w:val="00550B94"/>
    <w:rsid w:val="005527E1"/>
    <w:rsid w:val="00552889"/>
    <w:rsid w:val="00552A7E"/>
    <w:rsid w:val="00561EAF"/>
    <w:rsid w:val="00567C69"/>
    <w:rsid w:val="005719FB"/>
    <w:rsid w:val="00571A6E"/>
    <w:rsid w:val="005822B8"/>
    <w:rsid w:val="0058646A"/>
    <w:rsid w:val="005923C0"/>
    <w:rsid w:val="005933D1"/>
    <w:rsid w:val="005A4A59"/>
    <w:rsid w:val="005B651F"/>
    <w:rsid w:val="005C1F51"/>
    <w:rsid w:val="005D0739"/>
    <w:rsid w:val="005D2E44"/>
    <w:rsid w:val="005D342E"/>
    <w:rsid w:val="005D4B88"/>
    <w:rsid w:val="005D58FA"/>
    <w:rsid w:val="005E005B"/>
    <w:rsid w:val="005F3865"/>
    <w:rsid w:val="005F7B6E"/>
    <w:rsid w:val="00601228"/>
    <w:rsid w:val="00603176"/>
    <w:rsid w:val="00612802"/>
    <w:rsid w:val="006138F1"/>
    <w:rsid w:val="00617B55"/>
    <w:rsid w:val="0062272B"/>
    <w:rsid w:val="00630012"/>
    <w:rsid w:val="00632BA5"/>
    <w:rsid w:val="00634041"/>
    <w:rsid w:val="006570C7"/>
    <w:rsid w:val="006670D8"/>
    <w:rsid w:val="0066751C"/>
    <w:rsid w:val="00667803"/>
    <w:rsid w:val="00667D8B"/>
    <w:rsid w:val="00675A2A"/>
    <w:rsid w:val="00682E62"/>
    <w:rsid w:val="006836C6"/>
    <w:rsid w:val="0069013F"/>
    <w:rsid w:val="006937DD"/>
    <w:rsid w:val="00695B45"/>
    <w:rsid w:val="00696876"/>
    <w:rsid w:val="006A7A61"/>
    <w:rsid w:val="006B340F"/>
    <w:rsid w:val="006B56F4"/>
    <w:rsid w:val="006C1CF7"/>
    <w:rsid w:val="006C4B0B"/>
    <w:rsid w:val="006C5BE0"/>
    <w:rsid w:val="006E2882"/>
    <w:rsid w:val="006E28E4"/>
    <w:rsid w:val="006E7237"/>
    <w:rsid w:val="006F17A9"/>
    <w:rsid w:val="006F4220"/>
    <w:rsid w:val="006F5BF1"/>
    <w:rsid w:val="006F6015"/>
    <w:rsid w:val="00702FF1"/>
    <w:rsid w:val="007040A0"/>
    <w:rsid w:val="00707C93"/>
    <w:rsid w:val="00717798"/>
    <w:rsid w:val="00724006"/>
    <w:rsid w:val="00733D3B"/>
    <w:rsid w:val="00741306"/>
    <w:rsid w:val="00750D8C"/>
    <w:rsid w:val="00764BE2"/>
    <w:rsid w:val="0076723F"/>
    <w:rsid w:val="00773E87"/>
    <w:rsid w:val="00777AC6"/>
    <w:rsid w:val="007872BE"/>
    <w:rsid w:val="00791FCD"/>
    <w:rsid w:val="00796049"/>
    <w:rsid w:val="0079758E"/>
    <w:rsid w:val="007A01B2"/>
    <w:rsid w:val="007C288F"/>
    <w:rsid w:val="007D5A2E"/>
    <w:rsid w:val="007E017B"/>
    <w:rsid w:val="007E0192"/>
    <w:rsid w:val="007F172D"/>
    <w:rsid w:val="007F2BC8"/>
    <w:rsid w:val="00801A5C"/>
    <w:rsid w:val="00802759"/>
    <w:rsid w:val="00802E98"/>
    <w:rsid w:val="00803E97"/>
    <w:rsid w:val="00804EBA"/>
    <w:rsid w:val="00805087"/>
    <w:rsid w:val="00810C90"/>
    <w:rsid w:val="008169A5"/>
    <w:rsid w:val="0083798F"/>
    <w:rsid w:val="00837D1C"/>
    <w:rsid w:val="00842C29"/>
    <w:rsid w:val="00845633"/>
    <w:rsid w:val="00860D86"/>
    <w:rsid w:val="008629E5"/>
    <w:rsid w:val="008670B3"/>
    <w:rsid w:val="0086723E"/>
    <w:rsid w:val="00877C8E"/>
    <w:rsid w:val="00883850"/>
    <w:rsid w:val="008854B8"/>
    <w:rsid w:val="008857BC"/>
    <w:rsid w:val="00890085"/>
    <w:rsid w:val="008924B6"/>
    <w:rsid w:val="00896A64"/>
    <w:rsid w:val="008A083B"/>
    <w:rsid w:val="008A7E6C"/>
    <w:rsid w:val="008C5A09"/>
    <w:rsid w:val="008C5FE7"/>
    <w:rsid w:val="008C6AB7"/>
    <w:rsid w:val="008D2092"/>
    <w:rsid w:val="008D46AE"/>
    <w:rsid w:val="008E1CE2"/>
    <w:rsid w:val="008E3DB8"/>
    <w:rsid w:val="008E67E0"/>
    <w:rsid w:val="0090485E"/>
    <w:rsid w:val="00904977"/>
    <w:rsid w:val="0090500E"/>
    <w:rsid w:val="00905808"/>
    <w:rsid w:val="00907FE2"/>
    <w:rsid w:val="00914640"/>
    <w:rsid w:val="00926417"/>
    <w:rsid w:val="00926D1B"/>
    <w:rsid w:val="00926F50"/>
    <w:rsid w:val="009326B0"/>
    <w:rsid w:val="00933282"/>
    <w:rsid w:val="0093473B"/>
    <w:rsid w:val="00937FA7"/>
    <w:rsid w:val="00944453"/>
    <w:rsid w:val="009518A7"/>
    <w:rsid w:val="00952988"/>
    <w:rsid w:val="009607B9"/>
    <w:rsid w:val="00965E86"/>
    <w:rsid w:val="00967950"/>
    <w:rsid w:val="00971FD0"/>
    <w:rsid w:val="00974CAD"/>
    <w:rsid w:val="00974D39"/>
    <w:rsid w:val="00976B00"/>
    <w:rsid w:val="0098115A"/>
    <w:rsid w:val="00982B8D"/>
    <w:rsid w:val="0099565A"/>
    <w:rsid w:val="009966CC"/>
    <w:rsid w:val="009A0C54"/>
    <w:rsid w:val="009A47EE"/>
    <w:rsid w:val="009A6098"/>
    <w:rsid w:val="009B2669"/>
    <w:rsid w:val="009B3B32"/>
    <w:rsid w:val="009B6F82"/>
    <w:rsid w:val="009D3D85"/>
    <w:rsid w:val="009E1458"/>
    <w:rsid w:val="009E5802"/>
    <w:rsid w:val="009E5C29"/>
    <w:rsid w:val="009E7A78"/>
    <w:rsid w:val="009F4A94"/>
    <w:rsid w:val="00A00CE9"/>
    <w:rsid w:val="00A0396D"/>
    <w:rsid w:val="00A0575A"/>
    <w:rsid w:val="00A067F1"/>
    <w:rsid w:val="00A131BB"/>
    <w:rsid w:val="00A140FF"/>
    <w:rsid w:val="00A1690F"/>
    <w:rsid w:val="00A245F5"/>
    <w:rsid w:val="00A35078"/>
    <w:rsid w:val="00A46A5B"/>
    <w:rsid w:val="00A616C0"/>
    <w:rsid w:val="00A62212"/>
    <w:rsid w:val="00A660D3"/>
    <w:rsid w:val="00A67C79"/>
    <w:rsid w:val="00A801E3"/>
    <w:rsid w:val="00A83C13"/>
    <w:rsid w:val="00AA2ABB"/>
    <w:rsid w:val="00AA7B4D"/>
    <w:rsid w:val="00AB277C"/>
    <w:rsid w:val="00AB4516"/>
    <w:rsid w:val="00AB4B9A"/>
    <w:rsid w:val="00AB4CB7"/>
    <w:rsid w:val="00AB57E9"/>
    <w:rsid w:val="00AC5220"/>
    <w:rsid w:val="00AC5414"/>
    <w:rsid w:val="00AC6417"/>
    <w:rsid w:val="00AD1E05"/>
    <w:rsid w:val="00AD4CA3"/>
    <w:rsid w:val="00AE065A"/>
    <w:rsid w:val="00AE1AFF"/>
    <w:rsid w:val="00AE331C"/>
    <w:rsid w:val="00AE48C2"/>
    <w:rsid w:val="00AF7339"/>
    <w:rsid w:val="00B02DCE"/>
    <w:rsid w:val="00B13128"/>
    <w:rsid w:val="00B17DE2"/>
    <w:rsid w:val="00B22ABA"/>
    <w:rsid w:val="00B41A7C"/>
    <w:rsid w:val="00B4266E"/>
    <w:rsid w:val="00B42CEF"/>
    <w:rsid w:val="00B434A1"/>
    <w:rsid w:val="00B45B31"/>
    <w:rsid w:val="00B5306C"/>
    <w:rsid w:val="00B6490A"/>
    <w:rsid w:val="00B67816"/>
    <w:rsid w:val="00B725E8"/>
    <w:rsid w:val="00B845CD"/>
    <w:rsid w:val="00B86BCC"/>
    <w:rsid w:val="00B906CC"/>
    <w:rsid w:val="00B9317B"/>
    <w:rsid w:val="00BA18CF"/>
    <w:rsid w:val="00BA380E"/>
    <w:rsid w:val="00BA70C4"/>
    <w:rsid w:val="00BA7D7C"/>
    <w:rsid w:val="00BC0C41"/>
    <w:rsid w:val="00BD0DCC"/>
    <w:rsid w:val="00BD180E"/>
    <w:rsid w:val="00BD55A3"/>
    <w:rsid w:val="00BE4B6A"/>
    <w:rsid w:val="00C12465"/>
    <w:rsid w:val="00C12DA0"/>
    <w:rsid w:val="00C23205"/>
    <w:rsid w:val="00C27CBC"/>
    <w:rsid w:val="00C30D0E"/>
    <w:rsid w:val="00C31356"/>
    <w:rsid w:val="00C32CB8"/>
    <w:rsid w:val="00C45F84"/>
    <w:rsid w:val="00C4637B"/>
    <w:rsid w:val="00C4776D"/>
    <w:rsid w:val="00C50993"/>
    <w:rsid w:val="00C518D7"/>
    <w:rsid w:val="00C5407C"/>
    <w:rsid w:val="00C55936"/>
    <w:rsid w:val="00C679F1"/>
    <w:rsid w:val="00C67BEF"/>
    <w:rsid w:val="00C73A71"/>
    <w:rsid w:val="00C7756A"/>
    <w:rsid w:val="00C8093D"/>
    <w:rsid w:val="00C80B0E"/>
    <w:rsid w:val="00C86E4A"/>
    <w:rsid w:val="00C91CB9"/>
    <w:rsid w:val="00CA2457"/>
    <w:rsid w:val="00CA3EF9"/>
    <w:rsid w:val="00CB1A2C"/>
    <w:rsid w:val="00CB3AFD"/>
    <w:rsid w:val="00CB5E29"/>
    <w:rsid w:val="00CB6F66"/>
    <w:rsid w:val="00CB71D2"/>
    <w:rsid w:val="00CC0110"/>
    <w:rsid w:val="00CC4344"/>
    <w:rsid w:val="00CD4146"/>
    <w:rsid w:val="00CE0184"/>
    <w:rsid w:val="00CE33D5"/>
    <w:rsid w:val="00CF53B6"/>
    <w:rsid w:val="00D021BB"/>
    <w:rsid w:val="00D03560"/>
    <w:rsid w:val="00D036EB"/>
    <w:rsid w:val="00D03BC7"/>
    <w:rsid w:val="00D1022C"/>
    <w:rsid w:val="00D15F70"/>
    <w:rsid w:val="00D21F51"/>
    <w:rsid w:val="00D22EDA"/>
    <w:rsid w:val="00D35189"/>
    <w:rsid w:val="00D3595D"/>
    <w:rsid w:val="00D36969"/>
    <w:rsid w:val="00D40479"/>
    <w:rsid w:val="00D40DF9"/>
    <w:rsid w:val="00D5122F"/>
    <w:rsid w:val="00D52293"/>
    <w:rsid w:val="00D52CA4"/>
    <w:rsid w:val="00D5685F"/>
    <w:rsid w:val="00D602B5"/>
    <w:rsid w:val="00D63B2D"/>
    <w:rsid w:val="00D66B76"/>
    <w:rsid w:val="00D7199C"/>
    <w:rsid w:val="00D76C86"/>
    <w:rsid w:val="00D87235"/>
    <w:rsid w:val="00D914C0"/>
    <w:rsid w:val="00D944CE"/>
    <w:rsid w:val="00D95092"/>
    <w:rsid w:val="00D9652B"/>
    <w:rsid w:val="00D976AC"/>
    <w:rsid w:val="00DB624F"/>
    <w:rsid w:val="00DB73F4"/>
    <w:rsid w:val="00DC4AFA"/>
    <w:rsid w:val="00DD3ADC"/>
    <w:rsid w:val="00DD6AEA"/>
    <w:rsid w:val="00DD7A7E"/>
    <w:rsid w:val="00DF0CBF"/>
    <w:rsid w:val="00DF60EF"/>
    <w:rsid w:val="00DF732F"/>
    <w:rsid w:val="00E050A5"/>
    <w:rsid w:val="00E2600E"/>
    <w:rsid w:val="00E26A0A"/>
    <w:rsid w:val="00E3247D"/>
    <w:rsid w:val="00E32FCF"/>
    <w:rsid w:val="00E3566A"/>
    <w:rsid w:val="00E41058"/>
    <w:rsid w:val="00E41848"/>
    <w:rsid w:val="00E44BEC"/>
    <w:rsid w:val="00E51B3F"/>
    <w:rsid w:val="00E53936"/>
    <w:rsid w:val="00E63787"/>
    <w:rsid w:val="00E74310"/>
    <w:rsid w:val="00E74CB7"/>
    <w:rsid w:val="00E74EF8"/>
    <w:rsid w:val="00E766C3"/>
    <w:rsid w:val="00E820CC"/>
    <w:rsid w:val="00E867DD"/>
    <w:rsid w:val="00E91BD9"/>
    <w:rsid w:val="00E979C8"/>
    <w:rsid w:val="00EA04F9"/>
    <w:rsid w:val="00EA0B6B"/>
    <w:rsid w:val="00EB27E7"/>
    <w:rsid w:val="00EB312D"/>
    <w:rsid w:val="00EB782F"/>
    <w:rsid w:val="00EC2761"/>
    <w:rsid w:val="00EC29E2"/>
    <w:rsid w:val="00EC36A6"/>
    <w:rsid w:val="00EC475C"/>
    <w:rsid w:val="00EE0146"/>
    <w:rsid w:val="00EE01A1"/>
    <w:rsid w:val="00EF58D1"/>
    <w:rsid w:val="00F00572"/>
    <w:rsid w:val="00F036F9"/>
    <w:rsid w:val="00F039EE"/>
    <w:rsid w:val="00F12B40"/>
    <w:rsid w:val="00F12D09"/>
    <w:rsid w:val="00F2496C"/>
    <w:rsid w:val="00F26475"/>
    <w:rsid w:val="00F2652D"/>
    <w:rsid w:val="00F32752"/>
    <w:rsid w:val="00F34A83"/>
    <w:rsid w:val="00F438B1"/>
    <w:rsid w:val="00F50506"/>
    <w:rsid w:val="00F52D46"/>
    <w:rsid w:val="00F60DDB"/>
    <w:rsid w:val="00F734FF"/>
    <w:rsid w:val="00F74590"/>
    <w:rsid w:val="00F777D5"/>
    <w:rsid w:val="00F82C3A"/>
    <w:rsid w:val="00F95CBB"/>
    <w:rsid w:val="00FC1E0A"/>
    <w:rsid w:val="00FC2722"/>
    <w:rsid w:val="00FC3A4F"/>
    <w:rsid w:val="00FE6CB8"/>
    <w:rsid w:val="00FF2117"/>
    <w:rsid w:val="00FF3A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BB0AB"/>
  <w15:chartTrackingRefBased/>
  <w15:docId w15:val="{1557A2AC-5FBF-4BAC-953C-4A1640B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99"/>
    <w:lsdException w:name="toc 2" w:semiHidden="1" w:uiPriority="99"/>
    <w:lsdException w:name="toc 3" w:semiHidden="1" w:uiPriority="9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semiHidden="1" w:uiPriority="99"/>
    <w:lsdException w:name="annotation text" w:semiHidden="1" w:uiPriority="99"/>
    <w:lsdException w:name="footer" w:semiHidden="1" w:uiPriority="99"/>
    <w:lsdException w:name="index heading" w:semiHidden="1" w:uiPriority="99"/>
    <w:lsdException w:name="caption" w:semiHidden="1" w:uiPriority="99" w:unhideWhenUsed="1" w:qFormat="1"/>
    <w:lsdException w:name="table of figures" w:semiHidden="1" w:uiPriority="99"/>
    <w:lsdException w:name="envelope address" w:semiHidden="1" w:uiPriority="99"/>
    <w:lsdException w:name="envelope return" w:semiHidden="1" w:uiPriority="99"/>
    <w:lsdException w:name="annotation reference" w:semiHidden="1" w:uiPriority="99"/>
    <w:lsdException w:name="line number" w:semiHidden="1" w:uiPriority="99"/>
    <w:lsdException w:name="page number"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w:semiHidden="1"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qFormat="1"/>
    <w:lsdException w:name="Closing" w:semiHidden="1" w:uiPriority="99"/>
    <w:lsdException w:name="Signature" w:semiHidden="1" w:uiPriority="99"/>
    <w:lsdException w:name="Body Text" w:semiHidden="1" w:uiPriority="99"/>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uiPriority="99" w:qFormat="1"/>
    <w:lsdException w:name="Emphasis" w:uiPriority="99" w:qFormat="1"/>
    <w:lsdException w:name="Document Map" w:semiHidden="1" w:uiPriority="99"/>
    <w:lsdException w:name="Plain Text" w:semiHidden="1" w:uiPriority="99"/>
    <w:lsdException w:name="E-mail Signature" w:semiHidden="1" w:uiPriority="99"/>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unhideWhenUsed="1"/>
    <w:lsdException w:name="HTML Preformatted" w:semiHidden="1" w:uiPriority="99"/>
    <w:lsdException w:name="HTML Sample" w:semiHidden="1" w:uiPriority="99"/>
    <w:lsdException w:name="HTML Typewriter" w:semiHidden="1" w:uiPriority="99"/>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0C8"/>
    <w:pPr>
      <w:spacing w:line="360" w:lineRule="auto"/>
      <w:ind w:firstLine="202"/>
      <w:jc w:val="both"/>
    </w:pPr>
    <w:rPr>
      <w:rFonts w:ascii="Times New Roman" w:hAnsi="Times New Roman"/>
      <w:sz w:val="24"/>
      <w:szCs w:val="24"/>
    </w:rPr>
  </w:style>
  <w:style w:type="paragraph" w:styleId="Heading1">
    <w:name w:val="heading 1"/>
    <w:next w:val="Normal"/>
    <w:link w:val="Heading1Char"/>
    <w:qFormat/>
    <w:rsid w:val="0052428D"/>
    <w:pPr>
      <w:keepNext/>
      <w:keepLines/>
      <w:spacing w:before="260" w:after="260" w:line="360" w:lineRule="auto"/>
      <w:contextualSpacing/>
      <w:jc w:val="center"/>
      <w:outlineLvl w:val="0"/>
    </w:pPr>
    <w:rPr>
      <w:rFonts w:ascii="Times New Roman" w:eastAsia="Times New Roman" w:hAnsi="Times New Roman"/>
      <w:b/>
      <w:bCs/>
      <w:color w:val="000000"/>
      <w:kern w:val="32"/>
      <w:sz w:val="24"/>
      <w:szCs w:val="32"/>
    </w:rPr>
  </w:style>
  <w:style w:type="paragraph" w:styleId="Heading2">
    <w:name w:val="heading 2"/>
    <w:next w:val="Normal"/>
    <w:link w:val="Heading2Char"/>
    <w:qFormat/>
    <w:rsid w:val="0052428D"/>
    <w:pPr>
      <w:keepNext/>
      <w:keepLines/>
      <w:spacing w:before="260" w:after="260" w:line="360" w:lineRule="auto"/>
      <w:contextualSpacing/>
      <w:jc w:val="center"/>
      <w:outlineLvl w:val="1"/>
    </w:pPr>
    <w:rPr>
      <w:rFonts w:ascii="Times New Roman" w:hAnsi="Times New Roman" w:cs="TimesLTStd-Italic"/>
      <w:i/>
      <w:iCs/>
      <w:color w:val="000000"/>
      <w:sz w:val="24"/>
    </w:rPr>
  </w:style>
  <w:style w:type="paragraph" w:styleId="Heading3">
    <w:name w:val="heading 3"/>
    <w:basedOn w:val="Normal"/>
    <w:next w:val="Normal"/>
    <w:link w:val="Heading3Char"/>
    <w:qFormat/>
    <w:rsid w:val="0052428D"/>
    <w:pPr>
      <w:spacing w:before="260"/>
      <w:ind w:firstLine="0"/>
      <w:outlineLvl w:val="2"/>
    </w:pPr>
  </w:style>
  <w:style w:type="paragraph" w:styleId="Heading4">
    <w:name w:val="heading 4"/>
    <w:basedOn w:val="Normal"/>
    <w:next w:val="Normal"/>
    <w:link w:val="Heading4Char"/>
    <w:qFormat/>
    <w:rsid w:val="0052428D"/>
    <w:pPr>
      <w:spacing w:before="260"/>
      <w:ind w:firstLine="0"/>
      <w:outlineLvl w:val="3"/>
    </w:pPr>
    <w:rPr>
      <w:rFonts w:eastAsia="Times New Roman"/>
      <w:bCs/>
      <w:szCs w:val="28"/>
    </w:rPr>
  </w:style>
  <w:style w:type="paragraph" w:styleId="Heading5">
    <w:name w:val="heading 5"/>
    <w:basedOn w:val="Normal"/>
    <w:next w:val="Normal"/>
    <w:link w:val="Heading5Char"/>
    <w:uiPriority w:val="99"/>
    <w:qFormat/>
    <w:rsid w:val="00EE40C8"/>
    <w:pPr>
      <w:numPr>
        <w:ilvl w:val="4"/>
        <w:numId w:val="2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EE40C8"/>
    <w:pPr>
      <w:numPr>
        <w:ilvl w:val="5"/>
        <w:numId w:val="2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9"/>
    <w:qFormat/>
    <w:rsid w:val="00EE40C8"/>
    <w:pPr>
      <w:numPr>
        <w:ilvl w:val="6"/>
        <w:numId w:val="20"/>
      </w:num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EE40C8"/>
    <w:pPr>
      <w:numPr>
        <w:ilvl w:val="7"/>
        <w:numId w:val="20"/>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9"/>
    <w:qFormat/>
    <w:rsid w:val="00EE40C8"/>
    <w:pPr>
      <w:numPr>
        <w:ilvl w:val="8"/>
        <w:numId w:val="2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0C8"/>
    <w:rPr>
      <w:rFonts w:ascii="Times New Roman" w:eastAsia="Times New Roman" w:hAnsi="Times New Roman"/>
      <w:b/>
      <w:bCs/>
      <w:color w:val="000000"/>
      <w:kern w:val="32"/>
      <w:sz w:val="24"/>
      <w:szCs w:val="32"/>
      <w:lang w:val="en-US" w:eastAsia="en-US" w:bidi="ar-SA"/>
    </w:rPr>
  </w:style>
  <w:style w:type="character" w:customStyle="1" w:styleId="Heading2Char">
    <w:name w:val="Heading 2 Char"/>
    <w:basedOn w:val="DefaultParagraphFont"/>
    <w:link w:val="Heading2"/>
    <w:rsid w:val="00EE40C8"/>
    <w:rPr>
      <w:rFonts w:ascii="Times New Roman" w:hAnsi="Times New Roman" w:cs="TimesLTStd-Italic"/>
      <w:i/>
      <w:iCs/>
      <w:color w:val="000000"/>
      <w:sz w:val="24"/>
      <w:lang w:val="en-US" w:eastAsia="en-US" w:bidi="ar-SA"/>
    </w:rPr>
  </w:style>
  <w:style w:type="character" w:customStyle="1" w:styleId="Heading3Char">
    <w:name w:val="Heading 3 Char"/>
    <w:basedOn w:val="DefaultParagraphFont"/>
    <w:link w:val="Heading3"/>
    <w:rsid w:val="00EE40C8"/>
    <w:rPr>
      <w:rFonts w:ascii="Times New Roman" w:hAnsi="Times New Roman"/>
      <w:sz w:val="24"/>
      <w:szCs w:val="24"/>
    </w:rPr>
  </w:style>
  <w:style w:type="character" w:customStyle="1" w:styleId="Heading4Char">
    <w:name w:val="Heading 4 Char"/>
    <w:basedOn w:val="DefaultParagraphFont"/>
    <w:link w:val="Heading4"/>
    <w:rsid w:val="00EE40C8"/>
    <w:rPr>
      <w:rFonts w:ascii="Times New Roman" w:eastAsia="Times New Roman" w:hAnsi="Times New Roman"/>
      <w:bCs/>
      <w:sz w:val="24"/>
      <w:szCs w:val="28"/>
    </w:rPr>
  </w:style>
  <w:style w:type="paragraph" w:customStyle="1" w:styleId="Author">
    <w:name w:val="Author"/>
    <w:next w:val="Normal"/>
    <w:rsid w:val="008A4ECD"/>
    <w:pPr>
      <w:suppressAutoHyphens/>
      <w:spacing w:after="280" w:line="360" w:lineRule="auto"/>
      <w:jc w:val="center"/>
    </w:pPr>
    <w:rPr>
      <w:rFonts w:ascii="Times New Roman" w:hAnsi="Times New Roman" w:cs="TimesLTStd-Roman"/>
      <w:smallCaps/>
      <w:color w:val="000000"/>
      <w:sz w:val="24"/>
      <w:szCs w:val="22"/>
    </w:rPr>
  </w:style>
  <w:style w:type="paragraph" w:customStyle="1" w:styleId="Equation">
    <w:name w:val="Equation"/>
    <w:next w:val="Normal"/>
    <w:rsid w:val="00401F27"/>
    <w:pPr>
      <w:tabs>
        <w:tab w:val="center" w:pos="2016"/>
      </w:tabs>
      <w:suppressAutoHyphens/>
      <w:spacing w:before="260" w:line="360" w:lineRule="auto"/>
    </w:pPr>
    <w:rPr>
      <w:rFonts w:ascii="Times New Roman" w:hAnsi="Times New Roman" w:cs="TimesLTStd-Roman"/>
      <w:color w:val="000000"/>
      <w:sz w:val="24"/>
    </w:rPr>
  </w:style>
  <w:style w:type="paragraph" w:customStyle="1" w:styleId="NormalNoIndent">
    <w:name w:val="Normal No Indent"/>
    <w:basedOn w:val="Normal"/>
    <w:next w:val="Normal"/>
    <w:rsid w:val="008F7A00"/>
    <w:pPr>
      <w:ind w:firstLine="0"/>
    </w:pPr>
  </w:style>
  <w:style w:type="paragraph" w:customStyle="1" w:styleId="Contact">
    <w:name w:val="Contact"/>
    <w:next w:val="Normal"/>
    <w:rsid w:val="0076059A"/>
    <w:pPr>
      <w:widowControl w:val="0"/>
      <w:autoSpaceDE w:val="0"/>
      <w:autoSpaceDN w:val="0"/>
      <w:adjustRightInd w:val="0"/>
      <w:spacing w:after="200" w:line="360" w:lineRule="auto"/>
      <w:ind w:firstLine="202"/>
      <w:jc w:val="both"/>
      <w:textAlignment w:val="center"/>
    </w:pPr>
    <w:rPr>
      <w:rFonts w:ascii="Times New Roman" w:hAnsi="Times New Roman" w:cs="TimesLTStd-Roman"/>
      <w:color w:val="000000"/>
      <w:sz w:val="16"/>
      <w:szCs w:val="16"/>
    </w:rPr>
  </w:style>
  <w:style w:type="paragraph" w:customStyle="1" w:styleId="ReferenceHeading">
    <w:name w:val="Reference Heading"/>
    <w:basedOn w:val="Normal"/>
    <w:next w:val="References"/>
    <w:rsid w:val="00765F5E"/>
    <w:pPr>
      <w:keepNext/>
      <w:spacing w:before="260" w:after="260"/>
      <w:ind w:firstLine="0"/>
      <w:jc w:val="center"/>
    </w:pPr>
    <w:rPr>
      <w:caps/>
    </w:rPr>
  </w:style>
  <w:style w:type="paragraph" w:customStyle="1" w:styleId="References">
    <w:name w:val="References"/>
    <w:basedOn w:val="Normal"/>
    <w:rsid w:val="00765F5E"/>
    <w:pPr>
      <w:widowControl w:val="0"/>
      <w:ind w:left="202" w:hanging="202"/>
    </w:pPr>
  </w:style>
  <w:style w:type="paragraph" w:customStyle="1" w:styleId="Footnote">
    <w:name w:val="Footnote"/>
    <w:basedOn w:val="Normal"/>
    <w:uiPriority w:val="99"/>
    <w:semiHidden/>
    <w:rsid w:val="00736295"/>
    <w:pPr>
      <w:widowControl w:val="0"/>
      <w:autoSpaceDE w:val="0"/>
      <w:autoSpaceDN w:val="0"/>
      <w:adjustRightInd w:val="0"/>
      <w:spacing w:line="180" w:lineRule="atLeast"/>
      <w:ind w:firstLine="200"/>
      <w:textAlignment w:val="center"/>
    </w:pPr>
    <w:rPr>
      <w:rFonts w:cs="TimesLTStd-Roman"/>
      <w:color w:val="000000"/>
      <w:sz w:val="16"/>
      <w:szCs w:val="16"/>
    </w:rPr>
  </w:style>
  <w:style w:type="paragraph" w:customStyle="1" w:styleId="Extract">
    <w:name w:val="Extract"/>
    <w:next w:val="Normal"/>
    <w:rsid w:val="00296186"/>
    <w:pPr>
      <w:spacing w:before="260" w:line="360" w:lineRule="auto"/>
      <w:ind w:left="245" w:right="245"/>
      <w:jc w:val="both"/>
    </w:pPr>
    <w:rPr>
      <w:rFonts w:ascii="Times New Roman" w:hAnsi="Times New Roman" w:cs="TimesLTStd-Italic"/>
      <w:i/>
      <w:iCs/>
      <w:color w:val="000000"/>
      <w:sz w:val="24"/>
    </w:rPr>
  </w:style>
  <w:style w:type="paragraph" w:customStyle="1" w:styleId="Tagline">
    <w:name w:val="Tagline"/>
    <w:basedOn w:val="Normal"/>
    <w:next w:val="Normal"/>
    <w:rsid w:val="00296186"/>
    <w:pPr>
      <w:spacing w:after="120"/>
      <w:ind w:left="245" w:right="245" w:firstLine="0"/>
      <w:jc w:val="right"/>
    </w:pPr>
    <w:rPr>
      <w:rFonts w:cs="TimesLTStd-Roman"/>
      <w:szCs w:val="20"/>
    </w:rPr>
  </w:style>
  <w:style w:type="paragraph" w:styleId="FootnoteText">
    <w:name w:val="footnote text"/>
    <w:basedOn w:val="Normal"/>
    <w:link w:val="FootnoteTextChar"/>
    <w:rsid w:val="00700B88"/>
    <w:pPr>
      <w:spacing w:line="180" w:lineRule="atLeast"/>
    </w:pPr>
    <w:rPr>
      <w:sz w:val="16"/>
    </w:rPr>
  </w:style>
  <w:style w:type="character" w:customStyle="1" w:styleId="FootnoteTextChar">
    <w:name w:val="Footnote Text Char"/>
    <w:basedOn w:val="DefaultParagraphFont"/>
    <w:link w:val="FootnoteText"/>
    <w:rsid w:val="00736295"/>
    <w:rPr>
      <w:rFonts w:ascii="Times New Roman" w:hAnsi="Times New Roman"/>
      <w:sz w:val="16"/>
      <w:szCs w:val="24"/>
    </w:rPr>
  </w:style>
  <w:style w:type="character" w:styleId="FootnoteReference">
    <w:name w:val="footnote reference"/>
    <w:basedOn w:val="DefaultParagraphFont"/>
    <w:rsid w:val="00700B88"/>
    <w:rPr>
      <w:rFonts w:ascii="Times New Roman" w:hAnsi="Times New Roman"/>
      <w:sz w:val="24"/>
      <w:bdr w:val="none" w:sz="0" w:space="0" w:color="auto"/>
      <w:vertAlign w:val="superscript"/>
    </w:rPr>
  </w:style>
  <w:style w:type="paragraph" w:customStyle="1" w:styleId="FigureCaption">
    <w:name w:val="Figure Caption"/>
    <w:basedOn w:val="Normal"/>
    <w:rsid w:val="00736295"/>
    <w:pPr>
      <w:keepLines/>
      <w:widowControl w:val="0"/>
      <w:suppressAutoHyphens/>
      <w:autoSpaceDE w:val="0"/>
      <w:autoSpaceDN w:val="0"/>
      <w:adjustRightInd w:val="0"/>
      <w:spacing w:after="80" w:line="180" w:lineRule="atLeast"/>
      <w:ind w:firstLine="0"/>
      <w:jc w:val="center"/>
      <w:textAlignment w:val="center"/>
    </w:pPr>
    <w:rPr>
      <w:rFonts w:cs="TimesLTStd-Roman"/>
      <w:smallCaps/>
      <w:color w:val="000000"/>
      <w:spacing w:val="-1"/>
      <w:w w:val="97"/>
      <w:sz w:val="16"/>
      <w:szCs w:val="16"/>
    </w:rPr>
  </w:style>
  <w:style w:type="paragraph" w:customStyle="1" w:styleId="FigureNotes">
    <w:name w:val="Figure Notes"/>
    <w:basedOn w:val="Normal"/>
    <w:next w:val="Normal"/>
    <w:rsid w:val="00736295"/>
    <w:pPr>
      <w:widowControl w:val="0"/>
      <w:tabs>
        <w:tab w:val="right" w:pos="440"/>
        <w:tab w:val="left" w:pos="480"/>
      </w:tabs>
      <w:autoSpaceDE w:val="0"/>
      <w:autoSpaceDN w:val="0"/>
      <w:adjustRightInd w:val="0"/>
      <w:spacing w:before="120" w:line="180" w:lineRule="atLeast"/>
      <w:ind w:firstLine="0"/>
      <w:textAlignment w:val="center"/>
    </w:pPr>
    <w:rPr>
      <w:rFonts w:cs="TimesLTStd-Roman"/>
      <w:color w:val="000000"/>
      <w:sz w:val="16"/>
      <w:szCs w:val="16"/>
    </w:rPr>
  </w:style>
  <w:style w:type="paragraph" w:customStyle="1" w:styleId="TableHeading">
    <w:name w:val="Table Heading"/>
    <w:basedOn w:val="Normal"/>
    <w:rsid w:val="0052428D"/>
    <w:pPr>
      <w:widowControl w:val="0"/>
      <w:pBdr>
        <w:bottom w:val="double" w:sz="2" w:space="1" w:color="auto"/>
      </w:pBdr>
      <w:suppressAutoHyphens/>
      <w:autoSpaceDE w:val="0"/>
      <w:autoSpaceDN w:val="0"/>
      <w:adjustRightInd w:val="0"/>
      <w:spacing w:line="180" w:lineRule="atLeast"/>
      <w:ind w:right="1260" w:firstLine="0"/>
      <w:jc w:val="center"/>
      <w:textAlignment w:val="center"/>
    </w:pPr>
    <w:rPr>
      <w:rFonts w:cs="TimesLTStd-Roman"/>
      <w:smallCaps/>
      <w:color w:val="000000"/>
      <w:spacing w:val="-1"/>
      <w:w w:val="97"/>
      <w:sz w:val="16"/>
      <w:szCs w:val="16"/>
    </w:rPr>
  </w:style>
  <w:style w:type="paragraph" w:customStyle="1" w:styleId="TableNotes">
    <w:name w:val="Table Notes"/>
    <w:basedOn w:val="Normal"/>
    <w:next w:val="Normal"/>
    <w:rsid w:val="00736295"/>
    <w:pPr>
      <w:widowControl w:val="0"/>
      <w:tabs>
        <w:tab w:val="right" w:pos="440"/>
        <w:tab w:val="left" w:pos="480"/>
      </w:tabs>
      <w:autoSpaceDE w:val="0"/>
      <w:autoSpaceDN w:val="0"/>
      <w:adjustRightInd w:val="0"/>
      <w:spacing w:before="120" w:line="180" w:lineRule="atLeast"/>
      <w:ind w:firstLine="0"/>
      <w:textAlignment w:val="center"/>
    </w:pPr>
    <w:rPr>
      <w:rFonts w:cs="TimesLTStd-Roman"/>
      <w:color w:val="000000"/>
      <w:sz w:val="16"/>
      <w:szCs w:val="16"/>
    </w:rPr>
  </w:style>
  <w:style w:type="paragraph" w:customStyle="1" w:styleId="TableText">
    <w:name w:val="Table Text"/>
    <w:basedOn w:val="Normal"/>
    <w:rsid w:val="00736295"/>
    <w:pPr>
      <w:widowControl w:val="0"/>
      <w:autoSpaceDE w:val="0"/>
      <w:autoSpaceDN w:val="0"/>
      <w:adjustRightInd w:val="0"/>
      <w:spacing w:line="180" w:lineRule="atLeast"/>
      <w:ind w:firstLine="0"/>
      <w:jc w:val="left"/>
      <w:textAlignment w:val="center"/>
    </w:pPr>
    <w:rPr>
      <w:rFonts w:cs="TimesLTStd-Roman"/>
      <w:color w:val="000000"/>
      <w:sz w:val="16"/>
      <w:szCs w:val="16"/>
    </w:rPr>
  </w:style>
  <w:style w:type="paragraph" w:styleId="ListNumber">
    <w:name w:val="List Number"/>
    <w:basedOn w:val="Normal"/>
    <w:next w:val="Normal"/>
    <w:semiHidden/>
    <w:rsid w:val="00765F5E"/>
    <w:pPr>
      <w:numPr>
        <w:numId w:val="2"/>
      </w:numPr>
      <w:tabs>
        <w:tab w:val="clear" w:pos="1195"/>
      </w:tabs>
      <w:spacing w:after="260"/>
      <w:ind w:left="990" w:hanging="587"/>
    </w:pPr>
  </w:style>
  <w:style w:type="paragraph" w:customStyle="1" w:styleId="FigurePlaceholder">
    <w:name w:val="Figure Placeholder"/>
    <w:basedOn w:val="Normal"/>
    <w:next w:val="Normal"/>
    <w:rsid w:val="00A438EC"/>
    <w:pPr>
      <w:spacing w:before="260" w:after="260"/>
      <w:jc w:val="center"/>
    </w:pPr>
    <w:rPr>
      <w:rFonts w:eastAsia="Calisto MT"/>
    </w:rPr>
  </w:style>
  <w:style w:type="paragraph" w:customStyle="1" w:styleId="TablePlaceholder">
    <w:name w:val="Table Placeholder"/>
    <w:basedOn w:val="FigurePlaceholder"/>
    <w:next w:val="Normal"/>
    <w:qFormat/>
    <w:rsid w:val="00A438EC"/>
  </w:style>
  <w:style w:type="character" w:customStyle="1" w:styleId="TableFootLetter">
    <w:name w:val="Table FootLetter"/>
    <w:basedOn w:val="DefaultParagraphFont"/>
    <w:rsid w:val="007F4207"/>
    <w:rPr>
      <w:rFonts w:ascii="Times New Roman" w:hAnsi="Times New Roman"/>
      <w:sz w:val="16"/>
      <w:bdr w:val="none" w:sz="0" w:space="0" w:color="auto"/>
      <w:vertAlign w:val="superscript"/>
    </w:rPr>
  </w:style>
  <w:style w:type="paragraph" w:customStyle="1" w:styleId="TableFootnote">
    <w:name w:val="Table Footnote"/>
    <w:basedOn w:val="TableNotes"/>
    <w:next w:val="TableNotes"/>
    <w:rsid w:val="007F4207"/>
    <w:pPr>
      <w:widowControl/>
      <w:tabs>
        <w:tab w:val="clear" w:pos="440"/>
        <w:tab w:val="clear" w:pos="480"/>
      </w:tabs>
      <w:autoSpaceDE/>
      <w:autoSpaceDN/>
      <w:adjustRightInd/>
      <w:ind w:right="720"/>
      <w:textAlignment w:val="auto"/>
    </w:pPr>
    <w:rPr>
      <w:rFonts w:eastAsia="Calisto MT"/>
    </w:rPr>
  </w:style>
  <w:style w:type="paragraph" w:styleId="Title">
    <w:name w:val="Title"/>
    <w:next w:val="Author"/>
    <w:link w:val="TitleChar"/>
    <w:qFormat/>
    <w:rsid w:val="0076059A"/>
    <w:pPr>
      <w:spacing w:after="300" w:line="360" w:lineRule="auto"/>
      <w:jc w:val="center"/>
    </w:pPr>
    <w:rPr>
      <w:rFonts w:ascii="Arial" w:eastAsia="Times New Roman" w:hAnsi="Arial"/>
      <w:bCs/>
      <w:color w:val="000000"/>
      <w:kern w:val="28"/>
      <w:sz w:val="28"/>
      <w:szCs w:val="32"/>
    </w:rPr>
  </w:style>
  <w:style w:type="character" w:customStyle="1" w:styleId="TitleChar">
    <w:name w:val="Title Char"/>
    <w:basedOn w:val="DefaultParagraphFont"/>
    <w:link w:val="Title"/>
    <w:rsid w:val="0076059A"/>
    <w:rPr>
      <w:rFonts w:ascii="Arial" w:eastAsia="Times New Roman" w:hAnsi="Arial"/>
      <w:bCs/>
      <w:color w:val="000000"/>
      <w:kern w:val="28"/>
      <w:sz w:val="28"/>
      <w:szCs w:val="32"/>
      <w:lang w:val="en-US" w:eastAsia="en-US" w:bidi="ar-SA"/>
    </w:rPr>
  </w:style>
  <w:style w:type="paragraph" w:styleId="Header">
    <w:name w:val="header"/>
    <w:basedOn w:val="Normal"/>
    <w:link w:val="HeaderChar"/>
    <w:uiPriority w:val="99"/>
    <w:semiHidden/>
    <w:rsid w:val="008A4ECD"/>
    <w:pPr>
      <w:tabs>
        <w:tab w:val="center" w:pos="4320"/>
        <w:tab w:val="right" w:pos="8640"/>
      </w:tabs>
    </w:pPr>
  </w:style>
  <w:style w:type="character" w:customStyle="1" w:styleId="HeaderChar">
    <w:name w:val="Header Char"/>
    <w:basedOn w:val="DefaultParagraphFont"/>
    <w:link w:val="Header"/>
    <w:uiPriority w:val="99"/>
    <w:semiHidden/>
    <w:rsid w:val="00EE40C8"/>
    <w:rPr>
      <w:rFonts w:ascii="Times New Roman" w:hAnsi="Times New Roman"/>
      <w:sz w:val="24"/>
      <w:szCs w:val="24"/>
    </w:rPr>
  </w:style>
  <w:style w:type="paragraph" w:styleId="ListBullet">
    <w:name w:val="List Bullet"/>
    <w:basedOn w:val="Normal"/>
    <w:next w:val="Normal"/>
    <w:semiHidden/>
    <w:rsid w:val="00765F5E"/>
    <w:pPr>
      <w:numPr>
        <w:numId w:val="9"/>
      </w:numPr>
      <w:ind w:left="605" w:hanging="202"/>
      <w:contextualSpacing/>
    </w:pPr>
  </w:style>
  <w:style w:type="character" w:customStyle="1" w:styleId="Heading5Char">
    <w:name w:val="Heading 5 Char"/>
    <w:basedOn w:val="DefaultParagraphFont"/>
    <w:link w:val="Heading5"/>
    <w:uiPriority w:val="99"/>
    <w:semiHidden/>
    <w:rsid w:val="00EE40C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EE40C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semiHidden/>
    <w:rsid w:val="00EE40C8"/>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EE40C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EE40C8"/>
    <w:rPr>
      <w:rFonts w:ascii="Cambria" w:eastAsia="Times New Roman" w:hAnsi="Cambria" w:cs="Times New Roman"/>
      <w:sz w:val="22"/>
      <w:szCs w:val="22"/>
    </w:rPr>
  </w:style>
  <w:style w:type="paragraph" w:styleId="Subtitle">
    <w:name w:val="Subtitle"/>
    <w:basedOn w:val="Normal"/>
    <w:next w:val="Normal"/>
    <w:link w:val="SubtitleChar"/>
    <w:uiPriority w:val="99"/>
    <w:qFormat/>
    <w:rsid w:val="00EE40C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semiHidden/>
    <w:rsid w:val="00EE40C8"/>
    <w:rPr>
      <w:rFonts w:ascii="Cambria" w:eastAsia="Times New Roman" w:hAnsi="Cambria" w:cs="Times New Roman"/>
      <w:sz w:val="24"/>
      <w:szCs w:val="24"/>
    </w:rPr>
  </w:style>
  <w:style w:type="paragraph" w:customStyle="1" w:styleId="MediumGrid21">
    <w:name w:val="Medium Grid 21"/>
    <w:uiPriority w:val="99"/>
    <w:semiHidden/>
    <w:rsid w:val="00EE40C8"/>
    <w:pPr>
      <w:ind w:firstLine="202"/>
      <w:jc w:val="both"/>
    </w:pPr>
    <w:rPr>
      <w:rFonts w:ascii="Times New Roman" w:hAnsi="Times New Roman"/>
      <w:sz w:val="24"/>
      <w:szCs w:val="24"/>
    </w:rPr>
  </w:style>
  <w:style w:type="character" w:customStyle="1" w:styleId="PlainTable31">
    <w:name w:val="Plain Table 31"/>
    <w:basedOn w:val="DefaultParagraphFont"/>
    <w:uiPriority w:val="99"/>
    <w:semiHidden/>
    <w:rsid w:val="00EE40C8"/>
    <w:rPr>
      <w:i/>
      <w:iCs/>
      <w:color w:val="808080"/>
    </w:rPr>
  </w:style>
  <w:style w:type="character" w:customStyle="1" w:styleId="PlainTable51">
    <w:name w:val="Plain Table 51"/>
    <w:basedOn w:val="DefaultParagraphFont"/>
    <w:uiPriority w:val="99"/>
    <w:semiHidden/>
    <w:rsid w:val="00EE40C8"/>
    <w:rPr>
      <w:smallCaps/>
      <w:color w:val="C0504D"/>
      <w:u w:val="single"/>
    </w:rPr>
  </w:style>
  <w:style w:type="paragraph" w:customStyle="1" w:styleId="GridTable31">
    <w:name w:val="Grid Table 31"/>
    <w:basedOn w:val="Heading1"/>
    <w:next w:val="Normal"/>
    <w:uiPriority w:val="99"/>
    <w:semiHidden/>
    <w:unhideWhenUsed/>
    <w:rsid w:val="00EE40C8"/>
    <w:pPr>
      <w:keepLines w:val="0"/>
      <w:spacing w:before="240" w:after="60"/>
      <w:ind w:firstLine="202"/>
      <w:contextualSpacing w:val="0"/>
      <w:jc w:val="both"/>
      <w:outlineLvl w:val="9"/>
    </w:pPr>
    <w:rPr>
      <w:rFonts w:ascii="Cambria" w:hAnsi="Cambria"/>
      <w:color w:val="auto"/>
      <w:sz w:val="32"/>
    </w:rPr>
  </w:style>
  <w:style w:type="character" w:styleId="Hyperlink">
    <w:name w:val="Hyperlink"/>
    <w:basedOn w:val="DefaultParagraphFont"/>
    <w:uiPriority w:val="99"/>
    <w:semiHidden/>
    <w:rsid w:val="00D63B2D"/>
    <w:rPr>
      <w:color w:val="0563C1" w:themeColor="hyperlink"/>
      <w:u w:val="single"/>
    </w:rPr>
  </w:style>
  <w:style w:type="character" w:customStyle="1" w:styleId="UnresolvedMention1">
    <w:name w:val="Unresolved Mention1"/>
    <w:basedOn w:val="DefaultParagraphFont"/>
    <w:uiPriority w:val="99"/>
    <w:semiHidden/>
    <w:unhideWhenUsed/>
    <w:rsid w:val="00D63B2D"/>
    <w:rPr>
      <w:color w:val="605E5C"/>
      <w:shd w:val="clear" w:color="auto" w:fill="E1DFDD"/>
    </w:rPr>
  </w:style>
  <w:style w:type="paragraph" w:styleId="Footer">
    <w:name w:val="footer"/>
    <w:basedOn w:val="Normal"/>
    <w:link w:val="FooterChar"/>
    <w:uiPriority w:val="99"/>
    <w:semiHidden/>
    <w:rsid w:val="0066780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7803"/>
    <w:rPr>
      <w:rFonts w:ascii="Times New Roman" w:hAnsi="Times New Roman"/>
      <w:sz w:val="24"/>
      <w:szCs w:val="24"/>
    </w:rPr>
  </w:style>
  <w:style w:type="character" w:styleId="PlaceholderText">
    <w:name w:val="Placeholder Text"/>
    <w:basedOn w:val="DefaultParagraphFont"/>
    <w:uiPriority w:val="99"/>
    <w:semiHidden/>
    <w:rsid w:val="00DD6AEA"/>
    <w:rPr>
      <w:color w:val="808080"/>
    </w:rPr>
  </w:style>
  <w:style w:type="paragraph" w:styleId="BalloonText">
    <w:name w:val="Balloon Text"/>
    <w:basedOn w:val="Normal"/>
    <w:link w:val="BalloonTextChar"/>
    <w:uiPriority w:val="99"/>
    <w:semiHidden/>
    <w:rsid w:val="00EB27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E7"/>
    <w:rPr>
      <w:rFonts w:ascii="Segoe UI" w:hAnsi="Segoe UI" w:cs="Segoe UI"/>
      <w:sz w:val="18"/>
      <w:szCs w:val="18"/>
    </w:rPr>
  </w:style>
  <w:style w:type="character" w:styleId="CommentReference">
    <w:name w:val="annotation reference"/>
    <w:basedOn w:val="DefaultParagraphFont"/>
    <w:uiPriority w:val="99"/>
    <w:semiHidden/>
    <w:rsid w:val="006937DD"/>
    <w:rPr>
      <w:sz w:val="16"/>
      <w:szCs w:val="16"/>
    </w:rPr>
  </w:style>
  <w:style w:type="paragraph" w:styleId="CommentText">
    <w:name w:val="annotation text"/>
    <w:basedOn w:val="Normal"/>
    <w:link w:val="CommentTextChar"/>
    <w:uiPriority w:val="99"/>
    <w:semiHidden/>
    <w:rsid w:val="006937DD"/>
    <w:pPr>
      <w:spacing w:line="240" w:lineRule="auto"/>
    </w:pPr>
    <w:rPr>
      <w:sz w:val="20"/>
      <w:szCs w:val="20"/>
    </w:rPr>
  </w:style>
  <w:style w:type="character" w:customStyle="1" w:styleId="CommentTextChar">
    <w:name w:val="Comment Text Char"/>
    <w:basedOn w:val="DefaultParagraphFont"/>
    <w:link w:val="CommentText"/>
    <w:uiPriority w:val="99"/>
    <w:semiHidden/>
    <w:rsid w:val="006937DD"/>
    <w:rPr>
      <w:rFonts w:ascii="Times New Roman" w:hAnsi="Times New Roman"/>
    </w:rPr>
  </w:style>
  <w:style w:type="paragraph" w:styleId="CommentSubject">
    <w:name w:val="annotation subject"/>
    <w:basedOn w:val="CommentText"/>
    <w:next w:val="CommentText"/>
    <w:link w:val="CommentSubjectChar"/>
    <w:uiPriority w:val="99"/>
    <w:semiHidden/>
    <w:rsid w:val="006937DD"/>
    <w:rPr>
      <w:b/>
      <w:bCs/>
    </w:rPr>
  </w:style>
  <w:style w:type="character" w:customStyle="1" w:styleId="CommentSubjectChar">
    <w:name w:val="Comment Subject Char"/>
    <w:basedOn w:val="CommentTextChar"/>
    <w:link w:val="CommentSubject"/>
    <w:uiPriority w:val="99"/>
    <w:semiHidden/>
    <w:rsid w:val="006937DD"/>
    <w:rPr>
      <w:rFonts w:ascii="Times New Roman" w:hAnsi="Times New Roman"/>
      <w:b/>
      <w:bCs/>
    </w:rPr>
  </w:style>
  <w:style w:type="paragraph" w:styleId="Revision">
    <w:name w:val="Revision"/>
    <w:hidden/>
    <w:rsid w:val="006937DD"/>
    <w:rPr>
      <w:rFonts w:ascii="Times New Roman" w:hAnsi="Times New Roman"/>
      <w:sz w:val="24"/>
      <w:szCs w:val="24"/>
    </w:rPr>
  </w:style>
  <w:style w:type="character" w:customStyle="1" w:styleId="gmaildefault">
    <w:name w:val="gmail_default"/>
    <w:basedOn w:val="DefaultParagraphFont"/>
    <w:rsid w:val="0078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105">
      <w:bodyDiv w:val="1"/>
      <w:marLeft w:val="0"/>
      <w:marRight w:val="0"/>
      <w:marTop w:val="0"/>
      <w:marBottom w:val="0"/>
      <w:divBdr>
        <w:top w:val="none" w:sz="0" w:space="0" w:color="auto"/>
        <w:left w:val="none" w:sz="0" w:space="0" w:color="auto"/>
        <w:bottom w:val="none" w:sz="0" w:space="0" w:color="auto"/>
        <w:right w:val="none" w:sz="0" w:space="0" w:color="auto"/>
      </w:divBdr>
      <w:divsChild>
        <w:div w:id="406850452">
          <w:marLeft w:val="0"/>
          <w:marRight w:val="0"/>
          <w:marTop w:val="0"/>
          <w:marBottom w:val="0"/>
          <w:divBdr>
            <w:top w:val="none" w:sz="0" w:space="0" w:color="auto"/>
            <w:left w:val="none" w:sz="0" w:space="0" w:color="auto"/>
            <w:bottom w:val="none" w:sz="0" w:space="0" w:color="auto"/>
            <w:right w:val="none" w:sz="0" w:space="0" w:color="auto"/>
          </w:divBdr>
        </w:div>
      </w:divsChild>
    </w:div>
    <w:div w:id="529101353">
      <w:bodyDiv w:val="1"/>
      <w:marLeft w:val="0"/>
      <w:marRight w:val="0"/>
      <w:marTop w:val="0"/>
      <w:marBottom w:val="0"/>
      <w:divBdr>
        <w:top w:val="none" w:sz="0" w:space="0" w:color="auto"/>
        <w:left w:val="none" w:sz="0" w:space="0" w:color="auto"/>
        <w:bottom w:val="none" w:sz="0" w:space="0" w:color="auto"/>
        <w:right w:val="none" w:sz="0" w:space="0" w:color="auto"/>
      </w:divBdr>
      <w:divsChild>
        <w:div w:id="1500535194">
          <w:marLeft w:val="0"/>
          <w:marRight w:val="0"/>
          <w:marTop w:val="0"/>
          <w:marBottom w:val="0"/>
          <w:divBdr>
            <w:top w:val="none" w:sz="0" w:space="0" w:color="auto"/>
            <w:left w:val="none" w:sz="0" w:space="0" w:color="auto"/>
            <w:bottom w:val="none" w:sz="0" w:space="0" w:color="auto"/>
            <w:right w:val="none" w:sz="0" w:space="0" w:color="auto"/>
          </w:divBdr>
        </w:div>
      </w:divsChild>
    </w:div>
    <w:div w:id="1081440627">
      <w:bodyDiv w:val="1"/>
      <w:marLeft w:val="0"/>
      <w:marRight w:val="0"/>
      <w:marTop w:val="0"/>
      <w:marBottom w:val="0"/>
      <w:divBdr>
        <w:top w:val="none" w:sz="0" w:space="0" w:color="auto"/>
        <w:left w:val="none" w:sz="0" w:space="0" w:color="auto"/>
        <w:bottom w:val="none" w:sz="0" w:space="0" w:color="auto"/>
        <w:right w:val="none" w:sz="0" w:space="0" w:color="auto"/>
      </w:divBdr>
    </w:div>
    <w:div w:id="137418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nyder_Work\Current%20Research\Vaccines\AMC\AER%20P&amp;P\P&amp;P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3690D04EA4E42BA103F3409F33B38" ma:contentTypeVersion="8" ma:contentTypeDescription="Create a new document." ma:contentTypeScope="" ma:versionID="9a2c9178417ad0bffc59d2c54461a696">
  <xsd:schema xmlns:xsd="http://www.w3.org/2001/XMLSchema" xmlns:xs="http://www.w3.org/2001/XMLSchema" xmlns:p="http://schemas.microsoft.com/office/2006/metadata/properties" xmlns:ns3="fba40218-d566-4c88-ad33-c8aca6db190f" targetNamespace="http://schemas.microsoft.com/office/2006/metadata/properties" ma:root="true" ma:fieldsID="dcd35e1e40e9c0d8390a83dad0d95ba7" ns3:_="">
    <xsd:import namespace="fba40218-d566-4c88-ad33-c8aca6db19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0218-d566-4c88-ad33-c8aca6db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40BF-0416-4904-B8BF-7EACD9EF22E2}">
  <ds:schemaRefs>
    <ds:schemaRef ds:uri="http://schemas.microsoft.com/sharepoint/v3/contenttype/forms"/>
  </ds:schemaRefs>
</ds:datastoreItem>
</file>

<file path=customXml/itemProps2.xml><?xml version="1.0" encoding="utf-8"?>
<ds:datastoreItem xmlns:ds="http://schemas.openxmlformats.org/officeDocument/2006/customXml" ds:itemID="{FEEC2F66-6F5A-4D1E-9A0C-16764D760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40218-d566-4c88-ad33-c8aca6db1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44DD8-52CC-43A3-B0CF-55E631914AD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fba40218-d566-4c88-ad33-c8aca6db190f"/>
    <ds:schemaRef ds:uri="http://www.w3.org/XML/1998/namespace"/>
    <ds:schemaRef ds:uri="http://purl.org/dc/dcmitype/"/>
  </ds:schemaRefs>
</ds:datastoreItem>
</file>

<file path=customXml/itemProps4.xml><?xml version="1.0" encoding="utf-8"?>
<ds:datastoreItem xmlns:ds="http://schemas.openxmlformats.org/officeDocument/2006/customXml" ds:itemID="{06DE00D8-E278-4BAF-B7D9-7292E9A8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P&amp;P_Word_template</Template>
  <TotalTime>2</TotalTime>
  <Pages>7</Pages>
  <Words>2709</Words>
  <Characters>15164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AEA Publications</Company>
  <LinksUpToDate>false</LinksUpToDate>
  <CharactersWithSpaces>17838</CharactersWithSpaces>
  <SharedDoc>false</SharedDoc>
  <HLinks>
    <vt:vector size="6" baseType="variant">
      <vt:variant>
        <vt:i4>7602240</vt:i4>
      </vt:variant>
      <vt:variant>
        <vt:i4>5831</vt:i4>
      </vt:variant>
      <vt:variant>
        <vt:i4>1025</vt:i4>
      </vt:variant>
      <vt:variant>
        <vt:i4>1</vt:i4>
      </vt:variant>
      <vt:variant>
        <vt:lpwstr>20081134Figure3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Snyder</dc:creator>
  <cp:keywords/>
  <cp:lastModifiedBy>Jeanne Winner</cp:lastModifiedBy>
  <cp:revision>2</cp:revision>
  <cp:lastPrinted>2020-01-09T15:27:00Z</cp:lastPrinted>
  <dcterms:created xsi:type="dcterms:W3CDTF">2020-01-14T19:31:00Z</dcterms:created>
  <dcterms:modified xsi:type="dcterms:W3CDTF">2020-01-14T19:31:00Z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0x0101009A43690D04EA4E42BA103F3409F33B38</vt:lpwstr>
  </property>
</Properties>
</file>