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9126F" w14:textId="6CA57658" w:rsidR="00391E57" w:rsidRDefault="00391E57" w:rsidP="009810C6">
      <w:pPr>
        <w:pStyle w:val="Title"/>
        <w:spacing w:after="0" w:line="240" w:lineRule="auto"/>
      </w:pPr>
      <w:bookmarkStart w:id="0" w:name="_GoBack"/>
      <w:bookmarkEnd w:id="0"/>
      <w:r>
        <w:t>Online Appendix</w:t>
      </w:r>
    </w:p>
    <w:p w14:paraId="22B9F4D9" w14:textId="77777777" w:rsidR="009810C6" w:rsidRPr="009810C6" w:rsidRDefault="009810C6" w:rsidP="009810C6">
      <w:pPr>
        <w:pStyle w:val="Author"/>
        <w:spacing w:after="0" w:line="240" w:lineRule="auto"/>
      </w:pPr>
    </w:p>
    <w:p w14:paraId="3235872C" w14:textId="003AF0A7" w:rsidR="00002AEF" w:rsidRPr="007F172D" w:rsidRDefault="00A0396D" w:rsidP="009810C6">
      <w:pPr>
        <w:keepNext/>
        <w:keepLines/>
        <w:widowControl w:val="0"/>
        <w:jc w:val="center"/>
        <w:rPr>
          <w:rStyle w:val="TitleChar"/>
          <w:rFonts w:eastAsia="Cambria"/>
        </w:rPr>
      </w:pPr>
      <w:r>
        <w:rPr>
          <w:rStyle w:val="TitleChar"/>
          <w:rFonts w:eastAsia="Cambria"/>
        </w:rPr>
        <w:t>Advance Market Commitments</w:t>
      </w:r>
      <w:r w:rsidR="00347CD3">
        <w:rPr>
          <w:rStyle w:val="TitleChar"/>
          <w:rFonts w:eastAsia="Cambria"/>
        </w:rPr>
        <w:t>: Insights</w:t>
      </w:r>
      <w:r>
        <w:rPr>
          <w:rStyle w:val="TitleChar"/>
          <w:rFonts w:eastAsia="Cambria"/>
        </w:rPr>
        <w:t xml:space="preserve"> from Theory and Experience</w:t>
      </w:r>
    </w:p>
    <w:p w14:paraId="1A0FF252" w14:textId="77777777" w:rsidR="007B33B1" w:rsidRDefault="007B33B1" w:rsidP="007B33B1">
      <w:pPr>
        <w:pStyle w:val="Author"/>
        <w:keepNext/>
        <w:keepLines/>
        <w:widowControl w:val="0"/>
        <w:spacing w:after="0" w:line="240" w:lineRule="auto"/>
        <w:rPr>
          <w:i/>
          <w:smallCaps w:val="0"/>
        </w:rPr>
      </w:pPr>
    </w:p>
    <w:p w14:paraId="582FE2BF" w14:textId="007816D1" w:rsidR="007B33B1" w:rsidRDefault="00002AEF" w:rsidP="007B33B1">
      <w:pPr>
        <w:pStyle w:val="Author"/>
        <w:keepNext/>
        <w:keepLines/>
        <w:widowControl w:val="0"/>
        <w:spacing w:after="0" w:line="240" w:lineRule="auto"/>
      </w:pPr>
      <w:r w:rsidRPr="001613C7">
        <w:rPr>
          <w:i/>
          <w:smallCaps w:val="0"/>
        </w:rPr>
        <w:t>By</w:t>
      </w:r>
      <w:r>
        <w:t xml:space="preserve"> </w:t>
      </w:r>
      <w:r w:rsidR="00A0396D">
        <w:t xml:space="preserve">Michael Kremer, Jonathan Levin, </w:t>
      </w:r>
      <w:r w:rsidR="004201B3">
        <w:t>and Christopher M. Snyder</w:t>
      </w:r>
      <w:r w:rsidR="007B33B1">
        <w:t xml:space="preserve"> </w:t>
      </w:r>
    </w:p>
    <w:p w14:paraId="4A8F7FE5" w14:textId="403C85FF" w:rsidR="00002AEF" w:rsidRDefault="00FA1539" w:rsidP="007B33B1">
      <w:pPr>
        <w:pStyle w:val="Author"/>
        <w:keepNext/>
        <w:keepLines/>
        <w:widowControl w:val="0"/>
        <w:spacing w:after="0" w:line="240" w:lineRule="auto"/>
      </w:pPr>
      <w:r>
        <w:t xml:space="preserve">Online Appendix Coauthored with </w:t>
      </w:r>
      <w:r w:rsidR="007B33B1">
        <w:t>Arthur Baker and Junyi Que</w:t>
      </w:r>
    </w:p>
    <w:p w14:paraId="79745F47" w14:textId="77777777" w:rsidR="007B33B1" w:rsidRPr="007B33B1" w:rsidRDefault="007B33B1" w:rsidP="007B33B1"/>
    <w:p w14:paraId="79BA9352" w14:textId="136487C6" w:rsidR="00450F6E" w:rsidRDefault="00EB27E7" w:rsidP="00391E57">
      <w:pPr>
        <w:keepNext/>
        <w:widowControl w:val="0"/>
      </w:pPr>
      <w:r w:rsidRPr="00A007ED">
        <w:t>T</w:t>
      </w:r>
      <w:r w:rsidR="00A007ED">
        <w:t xml:space="preserve">his online appendix </w:t>
      </w:r>
      <w:r w:rsidR="00391E57">
        <w:t xml:space="preserve">is divided into two parts. Appendix A </w:t>
      </w:r>
      <w:r w:rsidR="00A007ED">
        <w:t>contains figures omitted from the published paper because of space constraints.</w:t>
      </w:r>
      <w:r w:rsidR="00391E57">
        <w:t xml:space="preserve"> Appendix B provides the details behind the numerical examples illustrating the asymmetry of the designer’s loss function under uncertainty. </w:t>
      </w:r>
    </w:p>
    <w:p w14:paraId="12B976B2" w14:textId="3F88F0F6" w:rsidR="008A2E40" w:rsidRDefault="008A2E40" w:rsidP="00391E57">
      <w:pPr>
        <w:keepNext/>
        <w:widowControl w:val="0"/>
      </w:pPr>
    </w:p>
    <w:p w14:paraId="0390DE12" w14:textId="77777777" w:rsidR="008A2E40" w:rsidRDefault="008A2E40" w:rsidP="00391E57">
      <w:pPr>
        <w:keepNext/>
        <w:widowControl w:val="0"/>
      </w:pPr>
    </w:p>
    <w:p w14:paraId="7EEE3ADE" w14:textId="51934063" w:rsidR="00391E57" w:rsidRDefault="00391E57" w:rsidP="00391E57">
      <w:pPr>
        <w:pStyle w:val="Heading1"/>
      </w:pPr>
      <w:r>
        <w:t>Appendix A: Figures</w:t>
      </w:r>
    </w:p>
    <w:p w14:paraId="434BFB61" w14:textId="77777777" w:rsidR="00450F6E" w:rsidRDefault="00450F6E" w:rsidP="00450F6E">
      <w:pPr>
        <w:keepNext/>
        <w:widowControl w:val="0"/>
        <w:jc w:val="center"/>
      </w:pPr>
      <w:r>
        <w:rPr>
          <w:noProof/>
        </w:rPr>
        <w:drawing>
          <wp:inline distT="0" distB="0" distL="0" distR="0" wp14:anchorId="3356B0C8" wp14:editId="4CF9B895">
            <wp:extent cx="5194300" cy="3828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300" cy="3828415"/>
                    </a:xfrm>
                    <a:prstGeom prst="rect">
                      <a:avLst/>
                    </a:prstGeom>
                    <a:noFill/>
                  </pic:spPr>
                </pic:pic>
              </a:graphicData>
            </a:graphic>
          </wp:inline>
        </w:drawing>
      </w:r>
    </w:p>
    <w:p w14:paraId="33DBE579" w14:textId="172B9532" w:rsidR="00175527" w:rsidRDefault="00175527" w:rsidP="00175527">
      <w:pPr>
        <w:pStyle w:val="FigureCaption"/>
        <w:keepNext/>
        <w:keepLines w:val="0"/>
      </w:pPr>
      <w:r>
        <w:t>Figure 1. PCV Coverage in GAVI Countries Relative to World</w:t>
      </w:r>
    </w:p>
    <w:p w14:paraId="15FF132C" w14:textId="2AEBE6FB" w:rsidR="00175527" w:rsidRDefault="00175527" w:rsidP="00175527">
      <w:pPr>
        <w:pStyle w:val="FigureNotes"/>
        <w:keepNext/>
      </w:pPr>
      <w:r w:rsidRPr="000D776C">
        <w:rPr>
          <w:i/>
        </w:rPr>
        <w:t>Notes:</w:t>
      </w:r>
      <w:r w:rsidRPr="000D776C">
        <w:t xml:space="preserve"> Plots of vaccine coverage in 73 GAVI-eligible countries </w:t>
      </w:r>
      <w:r w:rsidR="00F24605">
        <w:t xml:space="preserve">(solid blue line) </w:t>
      </w:r>
      <w:r>
        <w:t>and in the world</w:t>
      </w:r>
      <w:r w:rsidR="00F24605">
        <w:t xml:space="preserve"> (dashed red line)</w:t>
      </w:r>
      <w:r w:rsidRPr="000D776C">
        <w:t xml:space="preserve">. Coverage defined as percentage of children receiving </w:t>
      </w:r>
      <w:r w:rsidR="00F24605">
        <w:t xml:space="preserve">third and </w:t>
      </w:r>
      <w:r w:rsidRPr="000D776C">
        <w:t>final</w:t>
      </w:r>
      <w:r w:rsidR="00F24605">
        <w:t xml:space="preserve"> </w:t>
      </w:r>
      <w:r w:rsidRPr="000D776C">
        <w:t>scheduled dose by the nationally recommended age.</w:t>
      </w:r>
      <w:r w:rsidR="00F24605">
        <w:t xml:space="preserve"> The</w:t>
      </w:r>
      <w:r>
        <w:t xml:space="preserve"> figure demonstrates that </w:t>
      </w:r>
      <w:r w:rsidR="00B57A55">
        <w:t>pneumococcal conjugate vaccine (</w:t>
      </w:r>
      <w:r w:rsidR="00F24605">
        <w:t>PCV</w:t>
      </w:r>
      <w:r w:rsidR="00B57A55">
        <w:t>)</w:t>
      </w:r>
      <w:r w:rsidR="00F24605">
        <w:t xml:space="preserve"> </w:t>
      </w:r>
      <w:r>
        <w:t xml:space="preserve">coverage in GAVI countries </w:t>
      </w:r>
      <w:r w:rsidR="00F24605">
        <w:t>reached nearly 50% by 2018, surpassing the coverage rate in the rest of the world.</w:t>
      </w:r>
      <w:r w:rsidRPr="00C320BE">
        <w:t xml:space="preserve"> </w:t>
      </w:r>
    </w:p>
    <w:p w14:paraId="758F4C02" w14:textId="77777777" w:rsidR="00175527" w:rsidRDefault="00175527" w:rsidP="00175527">
      <w:pPr>
        <w:pStyle w:val="FigureNotes"/>
        <w:keepNext/>
      </w:pPr>
      <w:r w:rsidRPr="000D776C">
        <w:rPr>
          <w:i/>
        </w:rPr>
        <w:t>Source:</w:t>
      </w:r>
      <w:r w:rsidRPr="000D776C">
        <w:t xml:space="preserve"> Author calculations using WHO/UNICEF Estimates of National Immunization Coverage (WUENIC) provided on the “Aggregate estimates” worksheet of the coverage_estimates_series.xlsx file downloaded December 18, 2019 from </w:t>
      </w:r>
      <w:bookmarkStart w:id="1" w:name="OLE_LINK4"/>
      <w:r>
        <w:t>http://</w:t>
      </w:r>
      <w:r w:rsidRPr="00A57CCA">
        <w:t>www.who.int/immunization/</w:t>
      </w:r>
      <w:r>
        <w:t xml:space="preserve"> </w:t>
      </w:r>
      <w:proofErr w:type="spellStart"/>
      <w:r w:rsidRPr="00C320BE">
        <w:t>monitoring_surveillance</w:t>
      </w:r>
      <w:proofErr w:type="spellEnd"/>
      <w:r w:rsidRPr="00C320BE">
        <w:t>/data/</w:t>
      </w:r>
      <w:proofErr w:type="spellStart"/>
      <w:r w:rsidRPr="00C320BE">
        <w:t>en</w:t>
      </w:r>
      <w:proofErr w:type="spellEnd"/>
      <w:r w:rsidRPr="00C320BE">
        <w:t>/</w:t>
      </w:r>
      <w:bookmarkEnd w:id="1"/>
      <w:r w:rsidRPr="000D776C">
        <w:t>.</w:t>
      </w:r>
    </w:p>
    <w:p w14:paraId="3B723FDC" w14:textId="232AFD81" w:rsidR="00175527" w:rsidRDefault="00175527" w:rsidP="00450F6E">
      <w:pPr>
        <w:keepNext/>
        <w:widowControl w:val="0"/>
        <w:jc w:val="center"/>
        <w:sectPr w:rsidR="00175527" w:rsidSect="00002AEF">
          <w:footerReference w:type="default" r:id="rId9"/>
          <w:pgSz w:w="12240" w:h="15840"/>
          <w:pgMar w:top="1440" w:right="1440" w:bottom="1440" w:left="1440" w:header="720" w:footer="720" w:gutter="0"/>
          <w:cols w:space="360"/>
        </w:sectPr>
      </w:pPr>
    </w:p>
    <w:p w14:paraId="4789752A" w14:textId="77777777" w:rsidR="00395DAD" w:rsidRDefault="00395DAD" w:rsidP="00B549F0">
      <w:pPr>
        <w:keepNext/>
        <w:widowControl w:val="0"/>
        <w:jc w:val="center"/>
      </w:pPr>
    </w:p>
    <w:p w14:paraId="3B26EF5D" w14:textId="77777777" w:rsidR="00395DAD" w:rsidRDefault="00395DAD" w:rsidP="00B549F0">
      <w:pPr>
        <w:keepNext/>
        <w:widowControl w:val="0"/>
        <w:jc w:val="center"/>
      </w:pPr>
    </w:p>
    <w:p w14:paraId="10C8DE63" w14:textId="106CD52D" w:rsidR="00EB27E7" w:rsidRDefault="00BC161A" w:rsidP="00B549F0">
      <w:pPr>
        <w:keepNext/>
        <w:widowControl w:val="0"/>
        <w:jc w:val="center"/>
      </w:pPr>
      <w:r>
        <w:rPr>
          <w:noProof/>
        </w:rPr>
        <w:drawing>
          <wp:inline distT="0" distB="0" distL="0" distR="0" wp14:anchorId="2E4CFE7C" wp14:editId="3A3ACBDB">
            <wp:extent cx="5038725" cy="356989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3569891"/>
                    </a:xfrm>
                    <a:prstGeom prst="rect">
                      <a:avLst/>
                    </a:prstGeom>
                    <a:noFill/>
                  </pic:spPr>
                </pic:pic>
              </a:graphicData>
            </a:graphic>
          </wp:inline>
        </w:drawing>
      </w:r>
    </w:p>
    <w:p w14:paraId="4DD19A03" w14:textId="07773816" w:rsidR="00A007ED" w:rsidRDefault="00A007ED" w:rsidP="00B549F0">
      <w:pPr>
        <w:pStyle w:val="FigureCaption"/>
        <w:keepNext/>
        <w:keepLines w:val="0"/>
      </w:pPr>
      <w:r>
        <w:t xml:space="preserve">Figure </w:t>
      </w:r>
      <w:r w:rsidR="00450F6E">
        <w:t>2</w:t>
      </w:r>
      <w:r>
        <w:t xml:space="preserve">. </w:t>
      </w:r>
      <w:r w:rsidR="00D3733D">
        <w:t xml:space="preserve">Coverage </w:t>
      </w:r>
      <w:r w:rsidR="00C320BE">
        <w:t xml:space="preserve">for </w:t>
      </w:r>
      <w:r>
        <w:t>Vaccines Rolled Out with and without an AMC</w:t>
      </w:r>
    </w:p>
    <w:p w14:paraId="4C6F52D8" w14:textId="77777777" w:rsidR="00A035BB" w:rsidRDefault="00A007ED" w:rsidP="00A035BB">
      <w:pPr>
        <w:pStyle w:val="FigureNotes"/>
        <w:keepNext/>
        <w:spacing w:line="240" w:lineRule="auto"/>
      </w:pPr>
      <w:r w:rsidRPr="000D776C">
        <w:rPr>
          <w:i/>
        </w:rPr>
        <w:t>Notes:</w:t>
      </w:r>
      <w:r w:rsidRPr="000D776C">
        <w:t xml:space="preserve"> Plots of vaccine coverage in 73 GAVI-eligible countries divided by global coverage. Coverage defined as percentage of children receiving final scheduled dose (three for pneumococcus, two or three for rotavirus depending on schedule) by the nationally recommended age. Each series begins the first year the relevant vaccine was introduced globally: 2008 for pneumococcus and 2006 for rotavirus. Series cut off in 2018 for pneumococcus (year 10 relative to introduction) and 2017 (year 11) for rotavirus.</w:t>
      </w:r>
      <w:r>
        <w:t xml:space="preserve"> </w:t>
      </w:r>
      <w:r w:rsidR="00175527">
        <w:t>V</w:t>
      </w:r>
      <w:r w:rsidR="00C320BE" w:rsidRPr="00C320BE">
        <w:t xml:space="preserve">accine </w:t>
      </w:r>
      <w:r w:rsidR="00A57CCA">
        <w:t xml:space="preserve">coverage </w:t>
      </w:r>
      <w:r w:rsidR="00C320BE" w:rsidRPr="00C320BE">
        <w:t xml:space="preserve">in GAVI </w:t>
      </w:r>
      <w:r w:rsidR="00A57CCA">
        <w:t xml:space="preserve">relative to global coverage </w:t>
      </w:r>
      <w:r w:rsidR="00175527">
        <w:t xml:space="preserve">represented </w:t>
      </w:r>
      <w:r w:rsidR="00A57CCA">
        <w:t>by the solid blue line for pneumococcal conjuga</w:t>
      </w:r>
      <w:r w:rsidR="00870C03">
        <w:t>t</w:t>
      </w:r>
      <w:r w:rsidR="00A57CCA">
        <w:t xml:space="preserve">e vaccine (PCV) and by the dashed red line for rotavirus vaccine. </w:t>
      </w:r>
    </w:p>
    <w:p w14:paraId="2E5B1271" w14:textId="77777777" w:rsidR="00DC699B" w:rsidRDefault="00A035BB" w:rsidP="00A035BB">
      <w:pPr>
        <w:pStyle w:val="FigureNotes"/>
        <w:keepNext/>
        <w:spacing w:before="0" w:line="240" w:lineRule="auto"/>
        <w:ind w:firstLine="144"/>
      </w:pPr>
      <w:r>
        <w:tab/>
      </w:r>
      <w:r w:rsidR="00870C03">
        <w:t>The figure demonstrates that rotavirus vaccine coverage in GAVI countries took almost five years longer (or almost twice as long) to converge to the global rate than PCV.</w:t>
      </w:r>
      <w:r w:rsidR="00C320BE" w:rsidRPr="00C320BE">
        <w:t xml:space="preserve"> </w:t>
      </w:r>
    </w:p>
    <w:p w14:paraId="16A0D737" w14:textId="28BE7A00" w:rsidR="00D6192A" w:rsidRDefault="008A2E40" w:rsidP="00A035BB">
      <w:pPr>
        <w:pStyle w:val="FigureNotes"/>
        <w:keepNext/>
        <w:spacing w:before="0" w:line="240" w:lineRule="auto"/>
        <w:ind w:firstLine="144"/>
      </w:pPr>
      <w:r>
        <w:t xml:space="preserve">We calculate that if </w:t>
      </w:r>
      <w:r w:rsidR="0030719C">
        <w:t xml:space="preserve">PCV coverage in GAVI countries converged to global rate at the </w:t>
      </w:r>
      <w:r>
        <w:t xml:space="preserve">slower </w:t>
      </w:r>
      <w:r w:rsidR="00EB0A9C">
        <w:t xml:space="preserve">rate of the </w:t>
      </w:r>
      <w:r w:rsidR="0030719C">
        <w:t xml:space="preserve">rotavirus vaccine, </w:t>
      </w:r>
      <w:r w:rsidR="00D6192A">
        <w:t>67</w:t>
      </w:r>
      <w:r w:rsidR="0030719C">
        <w:t xml:space="preserve"> million </w:t>
      </w:r>
      <w:r>
        <w:t xml:space="preserve">fewer </w:t>
      </w:r>
      <w:r w:rsidR="0030719C">
        <w:t xml:space="preserve">children under </w:t>
      </w:r>
      <w:r>
        <w:t xml:space="preserve">age </w:t>
      </w:r>
      <w:r w:rsidR="0040352E">
        <w:t>1</w:t>
      </w:r>
      <w:r>
        <w:t xml:space="preserve"> would have been immunized</w:t>
      </w:r>
      <w:r w:rsidR="00505800">
        <w:t xml:space="preserve">, </w:t>
      </w:r>
      <w:r>
        <w:t xml:space="preserve">amounting </w:t>
      </w:r>
      <w:r w:rsidR="00505800">
        <w:t xml:space="preserve">to a loss of </w:t>
      </w:r>
      <w:r w:rsidR="00D6192A">
        <w:t>over 12 million</w:t>
      </w:r>
      <w:r>
        <w:t xml:space="preserve"> </w:t>
      </w:r>
      <w:r w:rsidR="00505800">
        <w:t>DALYs.</w:t>
      </w:r>
      <w:r w:rsidR="00EB0A9C">
        <w:t xml:space="preserve"> </w:t>
      </w:r>
      <w:r w:rsidR="0040352E">
        <w:t>We use the following formula to compute the shortfall in immunizations:</w:t>
      </w:r>
    </w:p>
    <w:p w14:paraId="0BCCCE74" w14:textId="77777777" w:rsidR="0040352E" w:rsidRPr="0040352E" w:rsidRDefault="0040352E" w:rsidP="0040352E">
      <w:pPr>
        <w:rPr>
          <w:sz w:val="16"/>
          <w:szCs w:val="16"/>
        </w:rPr>
      </w:pPr>
    </w:p>
    <w:p w14:paraId="7D97273A" w14:textId="544D0D5A" w:rsidR="00D6192A" w:rsidRPr="00D6192A" w:rsidRDefault="001D561A" w:rsidP="00A035BB">
      <w:pPr>
        <w:pStyle w:val="FigureNotes"/>
        <w:keepNext/>
        <w:spacing w:before="0" w:line="240" w:lineRule="auto"/>
        <w:ind w:firstLine="144"/>
      </w:pPr>
      <m:oMathPara>
        <m:oMathParaPr>
          <m:jc m:val="center"/>
        </m:oMathParaPr>
        <m:oMath>
          <m:nary>
            <m:naryPr>
              <m:chr m:val="∑"/>
              <m:limLoc m:val="undOvr"/>
              <m:ctrlPr>
                <w:rPr>
                  <w:rFonts w:ascii="Cambria Math" w:hAnsi="Cambria Math"/>
                  <w:i/>
                </w:rPr>
              </m:ctrlPr>
            </m:naryPr>
            <m:sub>
              <m:r>
                <w:rPr>
                  <w:rFonts w:ascii="Cambria Math" w:hAnsi="Cambria Math"/>
                </w:rPr>
                <m:t>t=2</m:t>
              </m:r>
            </m:sub>
            <m:sup>
              <m:r>
                <w:rPr>
                  <w:rFonts w:ascii="Cambria Math" w:hAnsi="Cambria Math"/>
                </w:rPr>
                <m:t>10</m:t>
              </m:r>
            </m:sup>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COV</m:t>
                          </m:r>
                        </m:e>
                        <m:sub>
                          <m:r>
                            <w:rPr>
                              <w:rFonts w:ascii="Cambria Math" w:hAnsi="Cambria Math"/>
                            </w:rPr>
                            <m:t>pgt</m:t>
                          </m:r>
                        </m:sub>
                      </m:sSub>
                    </m:num>
                    <m:den>
                      <m:sSub>
                        <m:sSubPr>
                          <m:ctrlPr>
                            <w:rPr>
                              <w:rFonts w:ascii="Cambria Math" w:hAnsi="Cambria Math"/>
                              <w:i/>
                            </w:rPr>
                          </m:ctrlPr>
                        </m:sSubPr>
                        <m:e>
                          <m:r>
                            <w:rPr>
                              <w:rFonts w:ascii="Cambria Math" w:hAnsi="Cambria Math"/>
                            </w:rPr>
                            <m:t>COV</m:t>
                          </m:r>
                        </m:e>
                        <m:sub>
                          <m:r>
                            <w:rPr>
                              <w:rFonts w:ascii="Cambria Math" w:hAnsi="Cambria Math"/>
                            </w:rPr>
                            <m:t>pwt</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COV</m:t>
                          </m:r>
                        </m:e>
                        <m:sub>
                          <m:r>
                            <w:rPr>
                              <w:rFonts w:ascii="Cambria Math" w:hAnsi="Cambria Math"/>
                            </w:rPr>
                            <m:t>rgt</m:t>
                          </m:r>
                        </m:sub>
                      </m:sSub>
                    </m:num>
                    <m:den>
                      <m:sSub>
                        <m:sSubPr>
                          <m:ctrlPr>
                            <w:rPr>
                              <w:rFonts w:ascii="Cambria Math" w:hAnsi="Cambria Math"/>
                              <w:i/>
                            </w:rPr>
                          </m:ctrlPr>
                        </m:sSubPr>
                        <m:e>
                          <m:r>
                            <w:rPr>
                              <w:rFonts w:ascii="Cambria Math" w:hAnsi="Cambria Math"/>
                            </w:rPr>
                            <m:t>COV</m:t>
                          </m:r>
                        </m:e>
                        <m:sub>
                          <m:r>
                            <w:rPr>
                              <w:rFonts w:ascii="Cambria Math" w:hAnsi="Cambria Math"/>
                            </w:rPr>
                            <m:t>rwt</m:t>
                          </m:r>
                        </m:sub>
                      </m:sSub>
                    </m:den>
                  </m:f>
                </m:e>
              </m:d>
              <m:sSub>
                <m:sSubPr>
                  <m:ctrlPr>
                    <w:rPr>
                      <w:rFonts w:ascii="Cambria Math" w:hAnsi="Cambria Math"/>
                      <w:i/>
                    </w:rPr>
                  </m:ctrlPr>
                </m:sSubPr>
                <m:e>
                  <m:r>
                    <w:rPr>
                      <w:rFonts w:ascii="Cambria Math" w:hAnsi="Cambria Math"/>
                    </w:rPr>
                    <m:t>COV</m:t>
                  </m:r>
                </m:e>
                <m:sub>
                  <m:r>
                    <w:rPr>
                      <w:rFonts w:ascii="Cambria Math" w:hAnsi="Cambria Math"/>
                    </w:rPr>
                    <m:t>pwt</m:t>
                  </m:r>
                </m:sub>
              </m:sSub>
              <m:sSub>
                <m:sSubPr>
                  <m:ctrlPr>
                    <w:rPr>
                      <w:rFonts w:ascii="Cambria Math" w:hAnsi="Cambria Math"/>
                      <w:i/>
                    </w:rPr>
                  </m:ctrlPr>
                </m:sSubPr>
                <m:e>
                  <m:r>
                    <w:rPr>
                      <w:rFonts w:ascii="Cambria Math" w:hAnsi="Cambria Math"/>
                    </w:rPr>
                    <m:t>UPOP</m:t>
                  </m:r>
                </m:e>
                <m:sub>
                  <m:r>
                    <w:rPr>
                      <w:rFonts w:ascii="Cambria Math" w:hAnsi="Cambria Math"/>
                    </w:rPr>
                    <m:t>gt</m:t>
                  </m:r>
                </m:sub>
              </m:sSub>
              <m:r>
                <w:rPr>
                  <w:rFonts w:ascii="Cambria Math" w:hAnsi="Cambria Math"/>
                </w:rPr>
                <m:t>,</m:t>
              </m:r>
            </m:e>
          </m:nary>
        </m:oMath>
      </m:oMathPara>
    </w:p>
    <w:p w14:paraId="561AD527" w14:textId="77777777" w:rsidR="0040352E" w:rsidRDefault="0040352E" w:rsidP="00D6192A">
      <w:pPr>
        <w:pStyle w:val="FigureNotes"/>
        <w:keepNext/>
        <w:spacing w:before="0" w:line="240" w:lineRule="auto"/>
      </w:pPr>
    </w:p>
    <w:p w14:paraId="55B8C6B1" w14:textId="324535CA" w:rsidR="00A57CCA" w:rsidRDefault="00D6192A" w:rsidP="00D6192A">
      <w:pPr>
        <w:pStyle w:val="FigureNotes"/>
        <w:keepNext/>
        <w:spacing w:before="0" w:line="240" w:lineRule="auto"/>
      </w:pPr>
      <w:r>
        <w:t xml:space="preserve">where </w:t>
      </w:r>
      <m:oMath>
        <m:sSub>
          <m:sSubPr>
            <m:ctrlPr>
              <w:rPr>
                <w:rFonts w:ascii="Cambria Math" w:hAnsi="Cambria Math"/>
                <w:i/>
              </w:rPr>
            </m:ctrlPr>
          </m:sSubPr>
          <m:e>
            <m:r>
              <w:rPr>
                <w:rFonts w:ascii="Cambria Math" w:hAnsi="Cambria Math"/>
              </w:rPr>
              <m:t>COV</m:t>
            </m:r>
          </m:e>
          <m:sub>
            <m:r>
              <w:rPr>
                <w:rFonts w:ascii="Cambria Math" w:hAnsi="Cambria Math"/>
              </w:rPr>
              <m:t>ijt</m:t>
            </m:r>
          </m:sub>
        </m:sSub>
      </m:oMath>
      <w:r>
        <w:t xml:space="preserve"> denotes coverage of the vaccine against</w:t>
      </w:r>
      <w:r w:rsidR="006F2F0D">
        <w:t xml:space="preserve"> disease </w:t>
      </w:r>
      <m:oMath>
        <m:r>
          <w:rPr>
            <w:rFonts w:ascii="Cambria Math" w:hAnsi="Cambria Math"/>
          </w:rPr>
          <m:t>i∈</m:t>
        </m:r>
        <m:d>
          <m:dPr>
            <m:begChr m:val="{"/>
            <m:endChr m:val="}"/>
            <m:ctrlPr>
              <w:rPr>
                <w:rFonts w:ascii="Cambria Math" w:hAnsi="Cambria Math"/>
                <w:i/>
              </w:rPr>
            </m:ctrlPr>
          </m:dPr>
          <m:e>
            <m:r>
              <w:rPr>
                <w:rFonts w:ascii="Cambria Math" w:hAnsi="Cambria Math"/>
              </w:rPr>
              <m:t>p,r</m:t>
            </m:r>
          </m:e>
        </m:d>
      </m:oMath>
      <w:r>
        <w:t xml:space="preserve"> and </w:t>
      </w:r>
      <m:oMath>
        <m:sSub>
          <m:sSubPr>
            <m:ctrlPr>
              <w:rPr>
                <w:rFonts w:ascii="Cambria Math" w:hAnsi="Cambria Math"/>
                <w:i/>
              </w:rPr>
            </m:ctrlPr>
          </m:sSubPr>
          <m:e>
            <m:r>
              <w:rPr>
                <w:rFonts w:ascii="Cambria Math" w:hAnsi="Cambria Math"/>
              </w:rPr>
              <m:t>UPOP</m:t>
            </m:r>
          </m:e>
          <m:sub>
            <m:r>
              <w:rPr>
                <w:rFonts w:ascii="Cambria Math" w:hAnsi="Cambria Math"/>
              </w:rPr>
              <m:t>jt</m:t>
            </m:r>
          </m:sub>
        </m:sSub>
      </m:oMath>
      <w:r>
        <w:t xml:space="preserve"> denotes the population under age 1 in location </w:t>
      </w:r>
      <m:oMath>
        <m:r>
          <w:rPr>
            <w:rFonts w:ascii="Cambria Math" w:hAnsi="Cambria Math"/>
          </w:rPr>
          <m:t>j∈</m:t>
        </m:r>
        <m:d>
          <m:dPr>
            <m:begChr m:val="{"/>
            <m:endChr m:val="}"/>
            <m:ctrlPr>
              <w:rPr>
                <w:rFonts w:ascii="Cambria Math" w:hAnsi="Cambria Math"/>
                <w:i/>
              </w:rPr>
            </m:ctrlPr>
          </m:dPr>
          <m:e>
            <m:r>
              <w:rPr>
                <w:rFonts w:ascii="Cambria Math" w:hAnsi="Cambria Math"/>
              </w:rPr>
              <m:t>g,w</m:t>
            </m:r>
          </m:e>
        </m:d>
      </m:oMath>
      <w:r>
        <w:t xml:space="preserve"> at </w:t>
      </w:r>
      <w:r w:rsidR="006F2F0D">
        <w:t xml:space="preserve">each </w:t>
      </w:r>
      <w:r>
        <w:t xml:space="preserve">time </w:t>
      </w:r>
      <m:oMath>
        <m:r>
          <w:rPr>
            <w:rFonts w:ascii="Cambria Math" w:hAnsi="Cambria Math"/>
          </w:rPr>
          <m:t>t∈</m:t>
        </m:r>
        <m:d>
          <m:dPr>
            <m:begChr m:val="{"/>
            <m:endChr m:val="}"/>
            <m:ctrlPr>
              <w:rPr>
                <w:rFonts w:ascii="Cambria Math" w:hAnsi="Cambria Math"/>
                <w:i/>
              </w:rPr>
            </m:ctrlPr>
          </m:dPr>
          <m:e>
            <m:r>
              <w:rPr>
                <w:rFonts w:ascii="Cambria Math" w:hAnsi="Cambria Math"/>
              </w:rPr>
              <m:t>2,3,…,10</m:t>
            </m:r>
          </m:e>
        </m:d>
      </m:oMath>
      <w:r w:rsidR="006F2F0D">
        <w:t xml:space="preserve">, for </w:t>
      </w:r>
      <m:oMath>
        <m:r>
          <w:rPr>
            <w:rFonts w:ascii="Cambria Math" w:hAnsi="Cambria Math"/>
          </w:rPr>
          <m:t>p</m:t>
        </m:r>
      </m:oMath>
      <w:r w:rsidR="006F2F0D">
        <w:t xml:space="preserve"> representing pneumococcus, </w:t>
      </w:r>
      <m:oMath>
        <m:r>
          <w:rPr>
            <w:rFonts w:ascii="Cambria Math" w:hAnsi="Cambria Math"/>
          </w:rPr>
          <m:t>r</m:t>
        </m:r>
      </m:oMath>
      <w:r w:rsidR="006F2F0D">
        <w:t xml:space="preserve"> rotavirus, </w:t>
      </w:r>
      <m:oMath>
        <m:r>
          <w:rPr>
            <w:rFonts w:ascii="Cambria Math" w:hAnsi="Cambria Math"/>
          </w:rPr>
          <m:t>g</m:t>
        </m:r>
      </m:oMath>
      <w:r w:rsidR="006F2F0D">
        <w:t xml:space="preserve"> GAVI countries, and </w:t>
      </w:r>
      <m:oMath>
        <m:r>
          <w:rPr>
            <w:rFonts w:ascii="Cambria Math" w:hAnsi="Cambria Math"/>
          </w:rPr>
          <m:t>w</m:t>
        </m:r>
      </m:oMath>
      <w:r w:rsidR="006F2F0D">
        <w:t xml:space="preserve"> the world. </w:t>
      </w:r>
      <w:r w:rsidR="0040352E">
        <w:t xml:space="preserve">For each time </w:t>
      </w:r>
      <m:oMath>
        <m:r>
          <w:rPr>
            <w:rFonts w:ascii="Cambria Math" w:hAnsi="Cambria Math"/>
          </w:rPr>
          <m:t>t</m:t>
        </m:r>
      </m:oMath>
      <w:r w:rsidR="0040352E">
        <w:t xml:space="preserve"> along the horizontal axis of the graph, the </w:t>
      </w:r>
      <w:r w:rsidR="006F2F0D">
        <w:t>factor in parentheses</w:t>
      </w:r>
      <w:r w:rsidR="0040352E">
        <w:t xml:space="preserve">, which </w:t>
      </w:r>
      <w:r w:rsidR="006F2F0D">
        <w:t>is the vertical distance between the graphs</w:t>
      </w:r>
      <w:r w:rsidR="0040352E">
        <w:t>,</w:t>
      </w:r>
      <w:r w:rsidR="006F2F0D">
        <w:t xml:space="preserve"> is </w:t>
      </w:r>
      <w:r w:rsidR="0040352E">
        <w:t xml:space="preserve">scaled </w:t>
      </w:r>
      <w:r w:rsidR="006F2F0D">
        <w:t xml:space="preserve">by </w:t>
      </w:r>
      <w:r w:rsidR="0040352E">
        <w:t>PCV coverage in the world and</w:t>
      </w:r>
      <w:r w:rsidR="0061141F">
        <w:t xml:space="preserve"> further scaled by </w:t>
      </w:r>
      <w:r w:rsidR="0040352E">
        <w:t xml:space="preserve">the population under age 1 in GAVI countries. The figures for each year are summed to obtain total immunizations. To obtain DALYs lost, the immunization shortfall is multiplied by 3 </w:t>
      </w:r>
      <w:r w:rsidR="008447B2">
        <w:t>(</w:t>
      </w:r>
      <w:r w:rsidR="0040352E">
        <w:t>PCV doses per immunization</w:t>
      </w:r>
      <w:r w:rsidR="008447B2">
        <w:t>)</w:t>
      </w:r>
      <w:r w:rsidR="0040352E">
        <w:t xml:space="preserve"> times 0.063 </w:t>
      </w:r>
      <w:r w:rsidR="008447B2">
        <w:t>(</w:t>
      </w:r>
      <w:r w:rsidR="0040352E">
        <w:t>DALYs per PCV dose</w:t>
      </w:r>
      <w:r w:rsidR="008447B2">
        <w:t>)</w:t>
      </w:r>
      <w:r w:rsidR="0040352E">
        <w:t>.</w:t>
      </w:r>
      <w:r w:rsidR="006F2F0D">
        <w:t xml:space="preserve"> </w:t>
      </w:r>
    </w:p>
    <w:p w14:paraId="07C42308" w14:textId="2EE269CA" w:rsidR="008447B2" w:rsidRDefault="008447B2" w:rsidP="008447B2">
      <w:pPr>
        <w:pStyle w:val="FigureNotes"/>
        <w:keepNext/>
        <w:spacing w:before="0" w:line="240" w:lineRule="auto"/>
        <w:ind w:firstLine="144"/>
      </w:pPr>
      <w:r>
        <w:t>We selected rotavirus from the six global vaccine initiatives proceeding around that time for the following reasons. Three of them (IPV, second dose of measles, birth dose of hepatitis) involved early-vintage rather than new vaccines. The yellow-fever vaccine was not rolled out in many high-income countries, leaving no good base rate for coverage speed comparison. We conjecture the results would be stronger using HPV, the remaining candidate apart from rotavirus, for comparison, but any slow rollout of HPV vaccine in GAVI countries could be attributed to its administration to older children, slowing coverage expansion.</w:t>
      </w:r>
      <w:r w:rsidRPr="00C320BE">
        <w:t xml:space="preserve"> </w:t>
      </w:r>
    </w:p>
    <w:p w14:paraId="46072FF1" w14:textId="623B77D5" w:rsidR="00A007ED" w:rsidRDefault="00A007ED" w:rsidP="00B549F0">
      <w:pPr>
        <w:pStyle w:val="FigureNotes"/>
        <w:keepNext/>
      </w:pPr>
      <w:r w:rsidRPr="000D776C">
        <w:rPr>
          <w:i/>
        </w:rPr>
        <w:t>Source:</w:t>
      </w:r>
      <w:r w:rsidRPr="000D776C">
        <w:t xml:space="preserve"> </w:t>
      </w:r>
      <w:r w:rsidR="00175527">
        <w:t>See Figure 1</w:t>
      </w:r>
      <w:r w:rsidR="002C5610">
        <w:t xml:space="preserve"> for data sources used in graphs. The calculations in the notes use the World Bank’s Population Estimates and Projections downloaded January 22, 2020 from </w:t>
      </w:r>
      <w:r w:rsidR="0082268A" w:rsidRPr="0082268A">
        <w:t>https://datacatalog.worldbank.org/dataset/population-estimates-and-projections</w:t>
      </w:r>
      <w:r w:rsidR="0082268A">
        <w:t xml:space="preserve"> and use </w:t>
      </w:r>
      <w:r w:rsidR="002C5610">
        <w:t>the 0.063 DALYs per dose figure computed in Appendix B based on findings in Tasslimi, et al. (2011)</w:t>
      </w:r>
      <w:r w:rsidR="00175527">
        <w:t>.</w:t>
      </w:r>
    </w:p>
    <w:p w14:paraId="0AD0DC77" w14:textId="77777777" w:rsidR="00A007ED" w:rsidRPr="00A007ED" w:rsidRDefault="00A007ED" w:rsidP="00B549F0">
      <w:pPr>
        <w:ind w:firstLine="0"/>
      </w:pPr>
    </w:p>
    <w:p w14:paraId="799E2C01" w14:textId="568A67E8" w:rsidR="00BC161A" w:rsidRDefault="00BC161A" w:rsidP="00BC161A">
      <w:pPr>
        <w:jc w:val="center"/>
      </w:pPr>
      <w:r>
        <w:rPr>
          <w:noProof/>
        </w:rPr>
        <w:lastRenderedPageBreak/>
        <w:drawing>
          <wp:inline distT="0" distB="0" distL="0" distR="0" wp14:anchorId="4ABF47A7" wp14:editId="16C1182F">
            <wp:extent cx="5193815" cy="6858000"/>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3539" cy="6870840"/>
                    </a:xfrm>
                    <a:prstGeom prst="rect">
                      <a:avLst/>
                    </a:prstGeom>
                    <a:noFill/>
                  </pic:spPr>
                </pic:pic>
              </a:graphicData>
            </a:graphic>
          </wp:inline>
        </w:drawing>
      </w:r>
    </w:p>
    <w:p w14:paraId="14D01B0D" w14:textId="7E075C01" w:rsidR="00BC161A" w:rsidRPr="000D776C" w:rsidRDefault="00BC161A" w:rsidP="00BC161A">
      <w:pPr>
        <w:pStyle w:val="FigureCaption"/>
      </w:pPr>
      <w:r w:rsidRPr="000D776C">
        <w:t xml:space="preserve">Figure </w:t>
      </w:r>
      <w:r w:rsidR="00450F6E">
        <w:t>3</w:t>
      </w:r>
      <w:r w:rsidRPr="000D776C">
        <w:t>. G</w:t>
      </w:r>
      <w:r w:rsidR="009F5813">
        <w:t>AVI R</w:t>
      </w:r>
      <w:r w:rsidRPr="000D776C">
        <w:t xml:space="preserve">elative to World Prices for </w:t>
      </w:r>
      <w:r w:rsidR="009F5813">
        <w:t>V</w:t>
      </w:r>
      <w:r w:rsidRPr="000D776C">
        <w:t>accines</w:t>
      </w:r>
    </w:p>
    <w:p w14:paraId="549CDAE2" w14:textId="77777777" w:rsidR="002B4A2D" w:rsidRDefault="00BC161A" w:rsidP="00BC161A">
      <w:pPr>
        <w:pStyle w:val="FigureNotes"/>
      </w:pPr>
      <w:r w:rsidRPr="000D776C">
        <w:rPr>
          <w:i/>
        </w:rPr>
        <w:t>Notes:</w:t>
      </w:r>
      <w:r w:rsidRPr="000D776C">
        <w:t xml:space="preserve"> </w:t>
      </w:r>
      <w:r w:rsidR="009F5813">
        <w:t>Per</w:t>
      </w:r>
      <w:r w:rsidRPr="000D776C">
        <w:t xml:space="preserve">-dose price paid by GAVI in 2018 plotted against the ratio of the GAVI price to </w:t>
      </w:r>
      <w:r w:rsidR="00870C03">
        <w:t>Pan American Health Organization (</w:t>
      </w:r>
      <w:r w:rsidRPr="000D776C">
        <w:t>PAHO</w:t>
      </w:r>
      <w:r w:rsidR="00870C03">
        <w:t xml:space="preserve">) </w:t>
      </w:r>
      <w:r w:rsidRPr="000D776C">
        <w:t xml:space="preserve">price (Panel A) or the median price paid by a self-procuring </w:t>
      </w:r>
      <w:r w:rsidR="009F5813">
        <w:t>m</w:t>
      </w:r>
      <w:r w:rsidRPr="000D776C">
        <w:t>iddle</w:t>
      </w:r>
      <w:r w:rsidR="009F5813">
        <w:t>-i</w:t>
      </w:r>
      <w:r w:rsidRPr="000D776C">
        <w:t xml:space="preserve">ncome </w:t>
      </w:r>
      <w:r w:rsidR="009F5813">
        <w:t>c</w:t>
      </w:r>
      <w:r w:rsidRPr="000D776C">
        <w:t xml:space="preserve">ountry (Panel B). </w:t>
      </w:r>
      <w:r w:rsidR="00A57CCA">
        <w:t>T</w:t>
      </w:r>
      <w:r w:rsidR="009F5813">
        <w:t xml:space="preserve">he pneumococcal conjugate vaccine (PCV) is circled </w:t>
      </w:r>
      <w:r w:rsidR="00A57CCA">
        <w:t>for emphasis.</w:t>
      </w:r>
    </w:p>
    <w:p w14:paraId="0EFA896D" w14:textId="16FCB660" w:rsidR="00391E57" w:rsidRDefault="00870C03" w:rsidP="00FD45D0">
      <w:pPr>
        <w:pStyle w:val="FigureNotes"/>
      </w:pPr>
      <w:r w:rsidRPr="00870C03">
        <w:rPr>
          <w:i/>
          <w:iCs/>
        </w:rPr>
        <w:t>Source:</w:t>
      </w:r>
      <w:r>
        <w:t xml:space="preserve"> Author calculations using data </w:t>
      </w:r>
      <w:r w:rsidR="00BC161A" w:rsidRPr="000D776C">
        <w:t xml:space="preserve">from </w:t>
      </w:r>
      <w:r w:rsidR="002B4A2D">
        <w:t>Figure 4.3 of World Health Organization, 2019, “</w:t>
      </w:r>
      <w:r w:rsidR="00BC161A" w:rsidRPr="000D776C">
        <w:t>Global Vaccine Market Report,</w:t>
      </w:r>
      <w:r w:rsidR="002B4A2D">
        <w:t xml:space="preserve">” downloaded January 9, 2020 from </w:t>
      </w:r>
      <w:r w:rsidR="002B4A2D" w:rsidRPr="002B4A2D">
        <w:t>http://www.who.int/immunization/programmes_systems/procurement/mi4a/platform/module2/2019_GlobalVaccine_Market_</w:t>
      </w:r>
      <w:r w:rsidR="002B4A2D">
        <w:t xml:space="preserve"> </w:t>
      </w:r>
      <w:proofErr w:type="spellStart"/>
      <w:r w:rsidR="002B4A2D" w:rsidRPr="002B4A2D">
        <w:t>Report.pdf?ua</w:t>
      </w:r>
      <w:proofErr w:type="spellEnd"/>
      <w:r w:rsidR="002B4A2D" w:rsidRPr="002B4A2D">
        <w:t>=1</w:t>
      </w:r>
      <w:r w:rsidR="00797B0F">
        <w:t>.</w:t>
      </w:r>
      <w:r w:rsidR="002B4A2D">
        <w:t xml:space="preserve"> </w:t>
      </w:r>
      <w:r w:rsidR="00391E57">
        <w:br w:type="page"/>
      </w:r>
    </w:p>
    <w:p w14:paraId="77ED4774" w14:textId="44A6F20E" w:rsidR="00002AEF" w:rsidRDefault="00391E57" w:rsidP="00391E57">
      <w:pPr>
        <w:pStyle w:val="Heading1"/>
      </w:pPr>
      <w:r>
        <w:lastRenderedPageBreak/>
        <w:t xml:space="preserve">Appendix B: Numerical Example Illustrating </w:t>
      </w:r>
      <w:r w:rsidR="00DF5131">
        <w:t xml:space="preserve">Designer’s </w:t>
      </w:r>
      <w:r>
        <w:t>Asymmetric Loss Function</w:t>
      </w:r>
    </w:p>
    <w:p w14:paraId="47B93F05" w14:textId="38F0DD8B" w:rsidR="003835DF" w:rsidRDefault="00391E57" w:rsidP="00DC6A07">
      <w:r>
        <w:t xml:space="preserve">This appendix provides the details behind the numerical example in the paper illustrating the </w:t>
      </w:r>
      <w:r w:rsidRPr="003835DF">
        <w:t xml:space="preserve">asymmetry of the </w:t>
      </w:r>
      <w:r w:rsidR="00B150E7" w:rsidRPr="003835DF">
        <w:t>Advance Market Commitment (</w:t>
      </w:r>
      <w:r w:rsidRPr="003835DF">
        <w:t>AMC</w:t>
      </w:r>
      <w:r w:rsidR="00B150E7" w:rsidRPr="003835DF">
        <w:t xml:space="preserve">) designer’s loss function </w:t>
      </w:r>
      <w:r w:rsidR="00DF5131" w:rsidRPr="003835DF">
        <w:t>when trying to</w:t>
      </w:r>
      <w:r w:rsidR="00DC6A07">
        <w:t xml:space="preserve"> </w:t>
      </w:r>
      <w:r w:rsidR="006613C6">
        <w:t>set</w:t>
      </w:r>
    </w:p>
    <w:p w14:paraId="6D2248A7" w14:textId="49562680" w:rsidR="003835DF" w:rsidRPr="003835DF" w:rsidRDefault="00B150E7" w:rsidP="003835DF">
      <w:pPr>
        <w:pStyle w:val="ListParagraph"/>
        <w:numPr>
          <w:ilvl w:val="0"/>
          <w:numId w:val="29"/>
        </w:numPr>
        <w:rPr>
          <w:rFonts w:ascii="Times New Roman" w:hAnsi="Times New Roman" w:cs="Times New Roman"/>
          <w:sz w:val="24"/>
          <w:szCs w:val="24"/>
        </w:rPr>
      </w:pPr>
      <w:r w:rsidRPr="003835DF">
        <w:rPr>
          <w:rFonts w:ascii="Times New Roman" w:hAnsi="Times New Roman" w:cs="Times New Roman"/>
          <w:sz w:val="24"/>
          <w:szCs w:val="24"/>
        </w:rPr>
        <w:t xml:space="preserve">prices </w:t>
      </w:r>
      <w:r w:rsidR="00DF5131" w:rsidRPr="003835DF">
        <w:rPr>
          <w:rFonts w:ascii="Times New Roman" w:hAnsi="Times New Roman" w:cs="Times New Roman"/>
          <w:sz w:val="24"/>
          <w:szCs w:val="24"/>
        </w:rPr>
        <w:t xml:space="preserve">offered to </w:t>
      </w:r>
      <w:r w:rsidR="00435912" w:rsidRPr="003835DF">
        <w:rPr>
          <w:rFonts w:ascii="Times New Roman" w:hAnsi="Times New Roman" w:cs="Times New Roman"/>
          <w:sz w:val="24"/>
          <w:szCs w:val="24"/>
        </w:rPr>
        <w:t xml:space="preserve">manufacturers </w:t>
      </w:r>
      <w:r w:rsidR="005521CF" w:rsidRPr="003835DF">
        <w:rPr>
          <w:rFonts w:ascii="Times New Roman" w:hAnsi="Times New Roman" w:cs="Times New Roman"/>
          <w:sz w:val="24"/>
          <w:szCs w:val="24"/>
        </w:rPr>
        <w:t xml:space="preserve">and </w:t>
      </w:r>
    </w:p>
    <w:p w14:paraId="08B317DA" w14:textId="090FD572" w:rsidR="003835DF" w:rsidRPr="003835DF" w:rsidRDefault="005521CF" w:rsidP="003835DF">
      <w:pPr>
        <w:pStyle w:val="ListParagraph"/>
        <w:numPr>
          <w:ilvl w:val="0"/>
          <w:numId w:val="29"/>
        </w:numPr>
        <w:rPr>
          <w:rFonts w:ascii="Times New Roman" w:hAnsi="Times New Roman" w:cs="Times New Roman"/>
          <w:sz w:val="24"/>
          <w:szCs w:val="24"/>
        </w:rPr>
      </w:pPr>
      <w:r w:rsidRPr="003835DF">
        <w:rPr>
          <w:rFonts w:ascii="Times New Roman" w:hAnsi="Times New Roman" w:cs="Times New Roman"/>
          <w:sz w:val="24"/>
          <w:szCs w:val="24"/>
        </w:rPr>
        <w:t xml:space="preserve">copayments required from countries </w:t>
      </w:r>
    </w:p>
    <w:p w14:paraId="7CA505D8" w14:textId="7707BA7F" w:rsidR="006613C6" w:rsidRDefault="00B150E7" w:rsidP="006613C6">
      <w:pPr>
        <w:ind w:firstLine="0"/>
        <w:rPr>
          <w:rFonts w:eastAsia="Calibri"/>
        </w:rPr>
      </w:pPr>
      <w:r w:rsidRPr="003835DF">
        <w:t>under uncertainty</w:t>
      </w:r>
      <w:r w:rsidR="00DF5131" w:rsidRPr="003835DF">
        <w:t xml:space="preserve"> about </w:t>
      </w:r>
      <w:r w:rsidR="006613C6">
        <w:t xml:space="preserve">these agents’ </w:t>
      </w:r>
      <w:r w:rsidR="00DF5131" w:rsidRPr="003835DF">
        <w:t>reservation values.</w:t>
      </w:r>
      <w:r w:rsidR="00DF5131" w:rsidRPr="003835DF">
        <w:rPr>
          <w:rFonts w:eastAsia="Calibri"/>
        </w:rPr>
        <w:t xml:space="preserve"> </w:t>
      </w:r>
      <w:r w:rsidR="007B33B1" w:rsidRPr="003835DF">
        <w:rPr>
          <w:rFonts w:eastAsia="Calibri"/>
        </w:rPr>
        <w:t xml:space="preserve">The designer’s loss from setting too high a </w:t>
      </w:r>
      <w:r w:rsidR="00476FFA">
        <w:rPr>
          <w:rFonts w:eastAsia="Calibri"/>
        </w:rPr>
        <w:t xml:space="preserve">manufacturer </w:t>
      </w:r>
      <w:r w:rsidR="007B33B1" w:rsidRPr="003835DF">
        <w:rPr>
          <w:rFonts w:eastAsia="Calibri"/>
        </w:rPr>
        <w:t>price is that this increases program expense, diverting resources</w:t>
      </w:r>
      <w:r w:rsidR="00DF5131" w:rsidRPr="003835DF">
        <w:rPr>
          <w:rFonts w:eastAsia="Calibri"/>
        </w:rPr>
        <w:t xml:space="preserve"> that could have been used to provide other health benefits. </w:t>
      </w:r>
      <w:r w:rsidR="009810C6" w:rsidRPr="003835DF">
        <w:rPr>
          <w:rFonts w:eastAsia="Calibri"/>
        </w:rPr>
        <w:t>S</w:t>
      </w:r>
      <w:r w:rsidR="007B33B1" w:rsidRPr="003835DF">
        <w:rPr>
          <w:rFonts w:eastAsia="Calibri"/>
        </w:rPr>
        <w:t xml:space="preserve">etting too low a price </w:t>
      </w:r>
      <w:r w:rsidR="009810C6" w:rsidRPr="003835DF">
        <w:rPr>
          <w:rFonts w:eastAsia="Calibri"/>
        </w:rPr>
        <w:t>risks not meeting the firms’ reservation values, leading them not to supply</w:t>
      </w:r>
      <w:r w:rsidR="007B33B1" w:rsidRPr="003835DF">
        <w:rPr>
          <w:rFonts w:eastAsia="Calibri"/>
        </w:rPr>
        <w:t xml:space="preserve"> pneumococcal conjugate vaccine (PCV) to </w:t>
      </w:r>
      <w:r w:rsidR="009810C6" w:rsidRPr="003835DF">
        <w:rPr>
          <w:rFonts w:eastAsia="Calibri"/>
        </w:rPr>
        <w:t xml:space="preserve">target </w:t>
      </w:r>
      <w:r w:rsidR="007B33B1" w:rsidRPr="003835DF">
        <w:rPr>
          <w:rFonts w:eastAsia="Calibri"/>
        </w:rPr>
        <w:t xml:space="preserve">countries. </w:t>
      </w:r>
      <w:r w:rsidR="009810C6" w:rsidRPr="003835DF">
        <w:rPr>
          <w:rFonts w:eastAsia="Calibri"/>
        </w:rPr>
        <w:t xml:space="preserve">As we show, the substantial </w:t>
      </w:r>
      <w:r w:rsidR="007B33B1" w:rsidRPr="003835DF">
        <w:rPr>
          <w:rFonts w:eastAsia="Calibri"/>
        </w:rPr>
        <w:t xml:space="preserve">health benefit </w:t>
      </w:r>
      <w:r w:rsidR="009810C6" w:rsidRPr="003835DF">
        <w:rPr>
          <w:rFonts w:eastAsia="Calibri"/>
        </w:rPr>
        <w:t xml:space="preserve">provided by </w:t>
      </w:r>
      <w:r w:rsidR="007B33B1" w:rsidRPr="003835DF">
        <w:rPr>
          <w:rFonts w:eastAsia="Calibri"/>
        </w:rPr>
        <w:t xml:space="preserve">PCV </w:t>
      </w:r>
      <w:r w:rsidR="00476FFA">
        <w:rPr>
          <w:rFonts w:eastAsia="Calibri"/>
        </w:rPr>
        <w:t xml:space="preserve">relative to </w:t>
      </w:r>
      <w:r w:rsidR="00476FFA" w:rsidRPr="003835DF">
        <w:rPr>
          <w:rFonts w:eastAsia="Calibri"/>
        </w:rPr>
        <w:t>alternative</w:t>
      </w:r>
      <w:r w:rsidR="00476FFA">
        <w:rPr>
          <w:rFonts w:eastAsia="Calibri"/>
        </w:rPr>
        <w:t xml:space="preserve"> uses for the funds—even assuming these funds are used for </w:t>
      </w:r>
      <w:r w:rsidR="00476FFA" w:rsidRPr="003835DF">
        <w:rPr>
          <w:rFonts w:eastAsia="Calibri"/>
        </w:rPr>
        <w:t xml:space="preserve">health interventions </w:t>
      </w:r>
      <w:r w:rsidR="00476FFA">
        <w:rPr>
          <w:rFonts w:eastAsia="Calibri"/>
        </w:rPr>
        <w:t xml:space="preserve">that meet </w:t>
      </w:r>
      <w:r w:rsidR="00476FFA" w:rsidRPr="003835DF">
        <w:rPr>
          <w:rFonts w:eastAsia="Calibri"/>
        </w:rPr>
        <w:t>the WHO threshold for high cost effectiveness</w:t>
      </w:r>
      <w:r w:rsidR="00476FFA">
        <w:rPr>
          <w:rFonts w:eastAsia="Calibri"/>
        </w:rPr>
        <w:t>—w</w:t>
      </w:r>
      <w:r w:rsidR="009810C6" w:rsidRPr="003835DF">
        <w:rPr>
          <w:rFonts w:eastAsia="Calibri"/>
        </w:rPr>
        <w:t xml:space="preserve">ill lead the loss </w:t>
      </w:r>
      <w:r w:rsidR="006613C6">
        <w:rPr>
          <w:rFonts w:eastAsia="Calibri"/>
        </w:rPr>
        <w:t xml:space="preserve">from not meeting firms reservation values </w:t>
      </w:r>
      <w:r w:rsidR="009810C6" w:rsidRPr="003835DF">
        <w:rPr>
          <w:rFonts w:eastAsia="Calibri"/>
        </w:rPr>
        <w:t xml:space="preserve">to be </w:t>
      </w:r>
      <w:r w:rsidR="007B33B1" w:rsidRPr="003835DF">
        <w:rPr>
          <w:rFonts w:eastAsia="Calibri"/>
        </w:rPr>
        <w:t>asymmetrically large</w:t>
      </w:r>
      <w:r w:rsidR="006613C6">
        <w:rPr>
          <w:rFonts w:eastAsia="Calibri"/>
        </w:rPr>
        <w:t>.</w:t>
      </w:r>
    </w:p>
    <w:p w14:paraId="5217455F" w14:textId="2B7227A1" w:rsidR="00476FFA" w:rsidRPr="006613C6" w:rsidRDefault="006613C6" w:rsidP="006613C6">
      <w:r>
        <w:t>S</w:t>
      </w:r>
      <w:r w:rsidR="009810C6">
        <w:t xml:space="preserve">etting the </w:t>
      </w:r>
      <w:r w:rsidR="0076247B">
        <w:t xml:space="preserve">country </w:t>
      </w:r>
      <w:r w:rsidR="009810C6">
        <w:t>copayment</w:t>
      </w:r>
      <w:r>
        <w:t xml:space="preserve"> involves an analogous tradeoff</w:t>
      </w:r>
      <w:r w:rsidR="009810C6">
        <w:t>. Setting too low a copayment increases program expense, draining resources from alternative health programs. Setting too high a copayment risks the countries not participating in PCV rollout. Again, the substantial health benefit provided by PCV will lead the latter loss to be asymmetrically large.</w:t>
      </w:r>
    </w:p>
    <w:p w14:paraId="65B47F44" w14:textId="7B7BA935" w:rsidR="00391E57" w:rsidRDefault="009810C6" w:rsidP="009810C6">
      <w:pPr>
        <w:rPr>
          <w:rFonts w:eastAsia="Calibri"/>
        </w:rPr>
      </w:pPr>
      <w:r>
        <w:rPr>
          <w:rFonts w:eastAsia="Calibri"/>
        </w:rPr>
        <w:t xml:space="preserve">To quantify these insights, we will analyze the </w:t>
      </w:r>
      <w:bookmarkStart w:id="2" w:name="OLE_LINK6"/>
      <w:bookmarkStart w:id="3" w:name="OLE_LINK7"/>
      <w:r w:rsidR="00391E57">
        <w:rPr>
          <w:rFonts w:eastAsia="Calibri"/>
        </w:rPr>
        <w:t xml:space="preserve">conditions </w:t>
      </w:r>
      <w:r>
        <w:rPr>
          <w:rFonts w:eastAsia="Calibri"/>
        </w:rPr>
        <w:t xml:space="preserve">under which </w:t>
      </w:r>
      <w:r w:rsidR="003539A6">
        <w:rPr>
          <w:rFonts w:eastAsia="Calibri"/>
        </w:rPr>
        <w:t xml:space="preserve">the pilot AMC design would have been improved if the </w:t>
      </w:r>
      <w:r w:rsidR="00435912">
        <w:rPr>
          <w:rFonts w:eastAsia="Calibri"/>
        </w:rPr>
        <w:t xml:space="preserve">manufacturer </w:t>
      </w:r>
      <w:r w:rsidR="003539A6">
        <w:rPr>
          <w:rFonts w:eastAsia="Calibri"/>
        </w:rPr>
        <w:t xml:space="preserve">price were set </w:t>
      </w:r>
      <w:r w:rsidR="00391E57">
        <w:rPr>
          <w:rFonts w:eastAsia="Calibri"/>
        </w:rPr>
        <w:t xml:space="preserve">below $3.50 or </w:t>
      </w:r>
      <w:r w:rsidR="003539A6">
        <w:rPr>
          <w:rFonts w:eastAsia="Calibri"/>
        </w:rPr>
        <w:t xml:space="preserve">country </w:t>
      </w:r>
      <w:r w:rsidR="00391E57">
        <w:rPr>
          <w:rFonts w:eastAsia="Calibri"/>
        </w:rPr>
        <w:t xml:space="preserve">copayment </w:t>
      </w:r>
      <w:r w:rsidR="003539A6">
        <w:rPr>
          <w:rFonts w:eastAsia="Calibri"/>
        </w:rPr>
        <w:t xml:space="preserve">above </w:t>
      </w:r>
      <w:r w:rsidR="00391E57">
        <w:rPr>
          <w:rFonts w:eastAsia="Calibri"/>
        </w:rPr>
        <w:t>$0.20</w:t>
      </w:r>
      <w:bookmarkEnd w:id="2"/>
      <w:bookmarkEnd w:id="3"/>
      <w:r w:rsidR="00391E57">
        <w:rPr>
          <w:rFonts w:eastAsia="Calibri"/>
        </w:rPr>
        <w:t xml:space="preserve">. </w:t>
      </w:r>
    </w:p>
    <w:p w14:paraId="3E317FBE" w14:textId="47DAC62D" w:rsidR="00391E57" w:rsidRDefault="00B150E7" w:rsidP="00B150E7">
      <w:pPr>
        <w:pStyle w:val="Heading2"/>
      </w:pPr>
      <w:bookmarkStart w:id="4" w:name="_9rq3jfy1wl3a" w:colFirst="0" w:colLast="0"/>
      <w:bookmarkEnd w:id="4"/>
      <w:r>
        <w:t xml:space="preserve">1. </w:t>
      </w:r>
      <w:r w:rsidR="00391E57">
        <w:t>Model</w:t>
      </w:r>
    </w:p>
    <w:p w14:paraId="7BC8501F" w14:textId="13827618" w:rsidR="00435912" w:rsidRDefault="00027F2E" w:rsidP="00435912">
      <w:r>
        <w:t xml:space="preserve">Suppose the </w:t>
      </w:r>
      <w:r w:rsidR="00391E57">
        <w:t xml:space="preserve">AMC designer sets a manufacturer price </w:t>
      </w:r>
      <m:oMath>
        <m:r>
          <w:rPr>
            <w:rFonts w:ascii="Cambria Math" w:hAnsi="Cambria Math"/>
          </w:rPr>
          <m:t>p</m:t>
        </m:r>
      </m:oMath>
      <w:r w:rsidR="00391E57">
        <w:t xml:space="preserve"> per dose and a copayment </w:t>
      </w:r>
      <m:oMath>
        <m:r>
          <w:rPr>
            <w:rFonts w:ascii="Cambria Math" w:hAnsi="Cambria Math"/>
          </w:rPr>
          <m:t>k</m:t>
        </m:r>
      </m:oMath>
      <w:r w:rsidR="00391E57">
        <w:t xml:space="preserve"> per dose to maximize expected health benefit</w:t>
      </w:r>
      <w:r w:rsidR="00435912">
        <w:t>s</w:t>
      </w:r>
      <w:r w:rsidR="00391E57">
        <w:t xml:space="preserve">, </w:t>
      </w:r>
      <w:r w:rsidR="00435912">
        <w:t xml:space="preserve">recognizing </w:t>
      </w:r>
      <w:r w:rsidR="00391E57">
        <w:t xml:space="preserve">that funds spent on the AMC have an opportunity cost because they can be used in alternative ways. </w:t>
      </w:r>
    </w:p>
    <w:p w14:paraId="5AFF6FB5" w14:textId="397D43BA" w:rsidR="00B942F4" w:rsidRDefault="00391E57" w:rsidP="006613C6">
      <w:pPr>
        <w:rPr>
          <w:rFonts w:eastAsia="Calibri"/>
        </w:rPr>
      </w:pPr>
      <w:r>
        <w:rPr>
          <w:rFonts w:eastAsia="Calibri"/>
        </w:rPr>
        <w:t xml:space="preserve">Let </w:t>
      </w:r>
      <m:oMath>
        <m:r>
          <w:rPr>
            <w:rFonts w:ascii="Cambria Math" w:eastAsia="Calibri" w:hAnsi="Cambria Math"/>
          </w:rPr>
          <m:t>x(p)</m:t>
        </m:r>
      </m:oMath>
      <w:r>
        <w:rPr>
          <w:rFonts w:eastAsia="Calibri"/>
        </w:rPr>
        <w:t xml:space="preserve"> be the probability </w:t>
      </w:r>
      <w:r w:rsidR="00435912">
        <w:rPr>
          <w:rFonts w:eastAsia="Calibri"/>
        </w:rPr>
        <w:t xml:space="preserve">that </w:t>
      </w:r>
      <w:r w:rsidR="00B942F4">
        <w:rPr>
          <w:rFonts w:eastAsia="Calibri"/>
        </w:rPr>
        <w:t>firms are induced to supply PCV under the AMC program</w:t>
      </w:r>
      <w:r w:rsidR="000F697A">
        <w:rPr>
          <w:rFonts w:eastAsia="Calibri"/>
        </w:rPr>
        <w:t>, referred to as the participation probability for short</w:t>
      </w:r>
      <w:r w:rsidR="008172EE">
        <w:rPr>
          <w:rFonts w:eastAsia="Calibri"/>
        </w:rPr>
        <w:t xml:space="preserve">. </w:t>
      </w:r>
      <w:r w:rsidR="000F697A">
        <w:rPr>
          <w:rFonts w:eastAsia="Calibri"/>
        </w:rPr>
        <w:t xml:space="preserve">The participation probability </w:t>
      </w:r>
      <w:r w:rsidR="008172EE">
        <w:rPr>
          <w:rFonts w:eastAsia="Calibri"/>
        </w:rPr>
        <w:t xml:space="preserve">is </w:t>
      </w:r>
      <w:r w:rsidR="009D4626">
        <w:rPr>
          <w:rFonts w:eastAsia="Calibri"/>
        </w:rPr>
        <w:t xml:space="preserve">an increasing function of </w:t>
      </w:r>
      <m:oMath>
        <m:r>
          <w:rPr>
            <w:rFonts w:ascii="Cambria Math" w:eastAsia="Calibri" w:hAnsi="Cambria Math"/>
          </w:rPr>
          <m:t>p</m:t>
        </m:r>
      </m:oMath>
      <w:r w:rsidR="009D4626">
        <w:rPr>
          <w:rFonts w:eastAsia="Calibri"/>
        </w:rPr>
        <w:t xml:space="preserve"> because higher </w:t>
      </w:r>
      <m:oMath>
        <m:r>
          <w:rPr>
            <w:rFonts w:ascii="Cambria Math" w:eastAsia="Calibri" w:hAnsi="Cambria Math"/>
          </w:rPr>
          <m:t>p</m:t>
        </m:r>
      </m:oMath>
      <w:r w:rsidR="009D4626">
        <w:rPr>
          <w:rFonts w:eastAsia="Calibri"/>
        </w:rPr>
        <w:t xml:space="preserve"> is more likely to exceed firms’ reservation values, leading them to participate in the program. </w:t>
      </w:r>
      <w:r w:rsidR="00435912">
        <w:t xml:space="preserve">For this exercise, we focus on the effect of </w:t>
      </w:r>
      <m:oMath>
        <m:r>
          <w:rPr>
            <w:rFonts w:ascii="Cambria Math" w:hAnsi="Cambria Math"/>
          </w:rPr>
          <m:t>p</m:t>
        </m:r>
      </m:oMath>
      <w:r w:rsidR="00435912">
        <w:t xml:space="preserve"> on </w:t>
      </w:r>
      <w:r w:rsidR="00B942F4">
        <w:t xml:space="preserve">firms’ </w:t>
      </w:r>
      <w:r w:rsidR="00435912">
        <w:t>extensive</w:t>
      </w:r>
      <w:r w:rsidR="00B942F4">
        <w:t>-</w:t>
      </w:r>
      <w:r w:rsidR="00435912">
        <w:t xml:space="preserve">margin decision </w:t>
      </w:r>
      <w:r w:rsidR="00B942F4">
        <w:t xml:space="preserve">of </w:t>
      </w:r>
      <w:proofErr w:type="gramStart"/>
      <w:r w:rsidR="00B942F4">
        <w:t>whether or not</w:t>
      </w:r>
      <w:proofErr w:type="gramEnd"/>
      <w:r w:rsidR="00B942F4">
        <w:t xml:space="preserve"> </w:t>
      </w:r>
      <w:r w:rsidR="00435912">
        <w:t xml:space="preserve">to </w:t>
      </w:r>
      <w:r w:rsidR="009D4626">
        <w:t xml:space="preserve">supply </w:t>
      </w:r>
      <w:r w:rsidR="00435912">
        <w:t>the vaccine</w:t>
      </w:r>
      <w:r w:rsidR="009D4626">
        <w:t xml:space="preserve">, implicitly </w:t>
      </w:r>
      <w:r w:rsidR="00435912">
        <w:t>assum</w:t>
      </w:r>
      <w:r w:rsidR="009D4626">
        <w:t xml:space="preserve">ing </w:t>
      </w:r>
      <w:r w:rsidR="00435912">
        <w:t xml:space="preserve">that </w:t>
      </w:r>
      <w:r w:rsidR="00B942F4">
        <w:t xml:space="preserve">decisions at the </w:t>
      </w:r>
      <w:r w:rsidR="00435912">
        <w:t xml:space="preserve">intensive margin </w:t>
      </w:r>
      <w:r w:rsidR="00B942F4">
        <w:t xml:space="preserve">such as the </w:t>
      </w:r>
      <w:r w:rsidR="00435912">
        <w:t xml:space="preserve">scale of capacity expansion </w:t>
      </w:r>
      <w:r w:rsidR="00B942F4">
        <w:t xml:space="preserve">or its timing do </w:t>
      </w:r>
      <w:r w:rsidR="00435912">
        <w:t xml:space="preserve">not depend on </w:t>
      </w:r>
      <m:oMath>
        <m:r>
          <w:rPr>
            <w:rFonts w:ascii="Cambria Math" w:hAnsi="Cambria Math"/>
          </w:rPr>
          <m:t>p</m:t>
        </m:r>
      </m:oMath>
      <w:r w:rsidR="00B942F4">
        <w:t xml:space="preserve">. Allowing </w:t>
      </w:r>
      <m:oMath>
        <m:r>
          <w:rPr>
            <w:rFonts w:ascii="Cambria Math" w:hAnsi="Cambria Math"/>
          </w:rPr>
          <m:t>p</m:t>
        </m:r>
      </m:oMath>
      <w:r w:rsidR="00B942F4">
        <w:t xml:space="preserve"> to incentivize these intensive-margin decisions in a more general analysis would only strengthen the conclusion about the asymmetry of the loss function.</w:t>
      </w:r>
      <w:r w:rsidR="0096784D">
        <w:t xml:space="preserve"> </w:t>
      </w:r>
      <w:r w:rsidR="006B71C8">
        <w:t xml:space="preserve">See </w:t>
      </w:r>
      <w:bookmarkStart w:id="5" w:name="OLE_LINK5"/>
      <w:bookmarkStart w:id="6" w:name="OLE_LINK8"/>
      <w:r w:rsidR="006B71C8" w:rsidRPr="006B71C8">
        <w:t>Kremer, Levin, and Snyder (2019)</w:t>
      </w:r>
      <w:r w:rsidR="006B71C8">
        <w:t xml:space="preserve"> </w:t>
      </w:r>
      <w:bookmarkEnd w:id="5"/>
      <w:bookmarkEnd w:id="6"/>
      <w:r w:rsidR="006B71C8">
        <w:t xml:space="preserve">for </w:t>
      </w:r>
      <w:r w:rsidR="006613C6">
        <w:t xml:space="preserve">an </w:t>
      </w:r>
      <w:r w:rsidR="006B71C8">
        <w:t>elaborate</w:t>
      </w:r>
      <w:r w:rsidR="006613C6">
        <w:t>d</w:t>
      </w:r>
      <w:r w:rsidR="006B71C8">
        <w:t xml:space="preserve"> model</w:t>
      </w:r>
      <w:r w:rsidR="006613C6">
        <w:t xml:space="preserve"> capturing </w:t>
      </w:r>
      <w:r w:rsidR="006B71C8">
        <w:t>incentives on the intensive margin.</w:t>
      </w:r>
      <w:r w:rsidR="006613C6">
        <w:t xml:space="preserve"> </w:t>
      </w:r>
      <w:r w:rsidR="0096784D">
        <w:t xml:space="preserve">Denote the complementary probability by </w:t>
      </w:r>
      <m:oMath>
        <m:r>
          <w:rPr>
            <w:rFonts w:ascii="Cambria Math" w:hAnsi="Cambria Math"/>
          </w:rPr>
          <m:t>f</m:t>
        </m:r>
        <m:d>
          <m:dPr>
            <m:ctrlPr>
              <w:rPr>
                <w:rFonts w:ascii="Cambria Math" w:hAnsi="Cambria Math"/>
                <w:i/>
              </w:rPr>
            </m:ctrlPr>
          </m:dPr>
          <m:e>
            <m:r>
              <w:rPr>
                <w:rFonts w:ascii="Cambria Math" w:hAnsi="Cambria Math"/>
              </w:rPr>
              <m:t>p</m:t>
            </m:r>
          </m:e>
        </m:d>
        <m:r>
          <w:rPr>
            <w:rFonts w:ascii="Cambria Math" w:hAnsi="Cambria Math"/>
          </w:rPr>
          <m:t>=1-x(p)</m:t>
        </m:r>
      </m:oMath>
      <w:r w:rsidR="0096784D">
        <w:t>, interpreted as the failure probability, i.e., the probability that the AMC fails to induce firm participation.</w:t>
      </w:r>
    </w:p>
    <w:p w14:paraId="48EA5186" w14:textId="3DB26C41" w:rsidR="009D4626" w:rsidRDefault="00391E57" w:rsidP="00435912">
      <w:pPr>
        <w:rPr>
          <w:rFonts w:eastAsia="Calibri"/>
        </w:rPr>
      </w:pPr>
      <w:r>
        <w:rPr>
          <w:rFonts w:eastAsia="Calibri"/>
        </w:rPr>
        <w:t xml:space="preserve">Let </w:t>
      </w:r>
      <m:oMath>
        <m:r>
          <w:rPr>
            <w:rFonts w:ascii="Cambria Math" w:eastAsia="Calibri" w:hAnsi="Cambria Math"/>
          </w:rPr>
          <m:t>q(k)</m:t>
        </m:r>
      </m:oMath>
      <w:r>
        <w:rPr>
          <w:rFonts w:eastAsia="Calibri"/>
          <w:iCs/>
        </w:rPr>
        <w:t xml:space="preserve"> </w:t>
      </w:r>
      <w:r>
        <w:rPr>
          <w:rFonts w:eastAsia="Calibri"/>
        </w:rPr>
        <w:t>denote the number of doses administered under the AMC</w:t>
      </w:r>
      <w:r w:rsidR="008172EE">
        <w:rPr>
          <w:rFonts w:eastAsia="Calibri"/>
        </w:rPr>
        <w:t xml:space="preserve">. This is </w:t>
      </w:r>
      <w:r w:rsidR="009D4626">
        <w:rPr>
          <w:rFonts w:eastAsia="Calibri"/>
        </w:rPr>
        <w:t xml:space="preserve">a decreasing function of the copayment </w:t>
      </w:r>
      <m:oMath>
        <m:r>
          <w:rPr>
            <w:rFonts w:ascii="Cambria Math" w:eastAsia="Calibri" w:hAnsi="Cambria Math"/>
          </w:rPr>
          <m:t>k</m:t>
        </m:r>
      </m:oMath>
      <w:r w:rsidR="009D4626">
        <w:rPr>
          <w:rFonts w:eastAsia="Calibri"/>
          <w:iCs/>
        </w:rPr>
        <w:t xml:space="preserve"> because higher copayments are more likely to exceed countries’ reservation values</w:t>
      </w:r>
      <w:r>
        <w:rPr>
          <w:rFonts w:eastAsia="Calibri"/>
        </w:rPr>
        <w:t xml:space="preserve">. </w:t>
      </w:r>
    </w:p>
    <w:p w14:paraId="592F4B8E" w14:textId="159BFB6F" w:rsidR="009D4626" w:rsidRDefault="00391E57" w:rsidP="00435912">
      <w:pPr>
        <w:rPr>
          <w:rFonts w:eastAsia="Calibri"/>
        </w:rPr>
      </w:pPr>
      <w:r>
        <w:rPr>
          <w:rFonts w:eastAsia="Calibri"/>
        </w:rPr>
        <w:t xml:space="preserve">Let </w:t>
      </w:r>
      <m:oMath>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a</m:t>
            </m:r>
          </m:sub>
        </m:sSub>
      </m:oMath>
      <w:r>
        <w:rPr>
          <w:rFonts w:eastAsia="Calibri"/>
        </w:rPr>
        <w:t xml:space="preserve"> be the health benefit </w:t>
      </w:r>
      <w:r w:rsidR="006B514F">
        <w:rPr>
          <w:rFonts w:eastAsia="Calibri"/>
        </w:rPr>
        <w:t xml:space="preserve">per dose if </w:t>
      </w:r>
      <w:r>
        <w:rPr>
          <w:rFonts w:eastAsia="Calibri"/>
        </w:rPr>
        <w:t xml:space="preserve">firms participate in the AMC, measured in disability-adjusted life years </w:t>
      </w:r>
      <w:r w:rsidR="00E16326">
        <w:rPr>
          <w:rFonts w:eastAsia="Calibri"/>
        </w:rPr>
        <w:t xml:space="preserve">(DALY) </w:t>
      </w:r>
      <w:r w:rsidR="00FA1539">
        <w:rPr>
          <w:rFonts w:eastAsia="Calibri"/>
        </w:rPr>
        <w:t>saved</w:t>
      </w:r>
      <w:r>
        <w:rPr>
          <w:rFonts w:eastAsia="Calibri"/>
        </w:rPr>
        <w:t xml:space="preserve"> </w:t>
      </w:r>
      <w:r w:rsidR="006B514F">
        <w:rPr>
          <w:rFonts w:eastAsia="Calibri"/>
        </w:rPr>
        <w:t>per dose</w:t>
      </w:r>
      <w:r>
        <w:rPr>
          <w:rFonts w:eastAsia="Calibri"/>
        </w:rPr>
        <w:t xml:space="preserve">. Let </w:t>
      </w:r>
      <m:oMath>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o</m:t>
            </m:r>
          </m:sub>
        </m:sSub>
        <m:r>
          <w:rPr>
            <w:rFonts w:ascii="Cambria Math" w:eastAsia="Calibri" w:hAnsi="Cambria Math"/>
          </w:rPr>
          <m:t xml:space="preserve"> </m:t>
        </m:r>
      </m:oMath>
      <w:r>
        <w:rPr>
          <w:rFonts w:eastAsia="Calibri"/>
        </w:rPr>
        <w:t>denote the opportunity cost</w:t>
      </w:r>
      <w:r w:rsidR="00A643F3">
        <w:rPr>
          <w:rFonts w:eastAsia="Calibri"/>
        </w:rPr>
        <w:t xml:space="preserve"> </w:t>
      </w:r>
      <w:r>
        <w:rPr>
          <w:rFonts w:eastAsia="Calibri"/>
        </w:rPr>
        <w:t xml:space="preserve">of each dollar spent </w:t>
      </w:r>
      <w:r>
        <w:rPr>
          <w:rFonts w:eastAsia="Calibri"/>
        </w:rPr>
        <w:lastRenderedPageBreak/>
        <w:t>on the AMC.</w:t>
      </w:r>
      <w:r w:rsidR="009D4626">
        <w:rPr>
          <w:rFonts w:eastAsia="Calibri"/>
        </w:rPr>
        <w:t xml:space="preserve"> Th</w:t>
      </w:r>
      <w:r w:rsidR="00A643F3">
        <w:rPr>
          <w:rFonts w:eastAsia="Calibri"/>
        </w:rPr>
        <w:t xml:space="preserve">is </w:t>
      </w:r>
      <w:r w:rsidR="009D4626">
        <w:rPr>
          <w:rFonts w:eastAsia="Calibri"/>
        </w:rPr>
        <w:t xml:space="preserve">opportunity cost </w:t>
      </w:r>
      <w:r w:rsidR="00A643F3">
        <w:rPr>
          <w:rFonts w:eastAsia="Calibri"/>
        </w:rPr>
        <w:t xml:space="preserve">is the foregone health benefit from </w:t>
      </w:r>
      <w:r w:rsidR="005521CF">
        <w:rPr>
          <w:rFonts w:eastAsia="Calibri"/>
        </w:rPr>
        <w:t xml:space="preserve">the </w:t>
      </w:r>
      <w:r w:rsidR="00A643F3">
        <w:rPr>
          <w:rFonts w:eastAsia="Calibri"/>
        </w:rPr>
        <w:t>alternative intervention, measured in DALY</w:t>
      </w:r>
      <w:r w:rsidR="00E16326">
        <w:rPr>
          <w:rFonts w:eastAsia="Calibri"/>
        </w:rPr>
        <w:t>s</w:t>
      </w:r>
      <w:r w:rsidR="006B514F">
        <w:rPr>
          <w:rFonts w:eastAsia="Calibri"/>
        </w:rPr>
        <w:t xml:space="preserve"> per dollar</w:t>
      </w:r>
      <w:r w:rsidR="00A643F3">
        <w:rPr>
          <w:rFonts w:eastAsia="Calibri"/>
        </w:rPr>
        <w:t xml:space="preserve">. </w:t>
      </w:r>
    </w:p>
    <w:p w14:paraId="5EA74A6C" w14:textId="3171972E" w:rsidR="008172EE" w:rsidRDefault="00A643F3" w:rsidP="00435912">
      <w:pPr>
        <w:rPr>
          <w:rFonts w:eastAsia="Calibri"/>
        </w:rPr>
      </w:pPr>
      <w:r>
        <w:rPr>
          <w:rFonts w:eastAsia="Calibri"/>
        </w:rPr>
        <w:t xml:space="preserve">Let </w:t>
      </w:r>
      <m:oMath>
        <m:r>
          <w:rPr>
            <w:rFonts w:ascii="Cambria Math" w:eastAsia="Calibri" w:hAnsi="Cambria Math"/>
          </w:rPr>
          <m:t>B</m:t>
        </m:r>
      </m:oMath>
      <w:r>
        <w:rPr>
          <w:rFonts w:eastAsia="Calibri"/>
        </w:rPr>
        <w:t xml:space="preserve"> be the total budget available to the AMC designer. </w:t>
      </w:r>
      <w:r w:rsidR="00391E57">
        <w:rPr>
          <w:rFonts w:eastAsia="Calibri"/>
        </w:rPr>
        <w:t xml:space="preserve">The </w:t>
      </w:r>
      <w:r>
        <w:rPr>
          <w:rFonts w:eastAsia="Calibri"/>
        </w:rPr>
        <w:t xml:space="preserve">all-in </w:t>
      </w:r>
      <w:r w:rsidR="00391E57">
        <w:rPr>
          <w:rFonts w:eastAsia="Calibri"/>
        </w:rPr>
        <w:t xml:space="preserve">cost of the AMC to the designer </w:t>
      </w:r>
      <w:r>
        <w:rPr>
          <w:rFonts w:eastAsia="Calibri"/>
        </w:rPr>
        <w:t>per dose</w:t>
      </w:r>
      <w:r w:rsidR="008172EE">
        <w:rPr>
          <w:rFonts w:eastAsia="Calibri"/>
        </w:rPr>
        <w:t xml:space="preserve"> (denoted </w:t>
      </w:r>
      <m:oMath>
        <m:r>
          <w:rPr>
            <w:rFonts w:ascii="Cambria Math" w:eastAsia="Calibri" w:hAnsi="Cambria Math"/>
          </w:rPr>
          <m:t>c</m:t>
        </m:r>
      </m:oMath>
      <w:r w:rsidR="008172EE">
        <w:rPr>
          <w:rFonts w:eastAsia="Calibri"/>
        </w:rPr>
        <w:t>)</w:t>
      </w:r>
      <w:r>
        <w:rPr>
          <w:rFonts w:eastAsia="Calibri"/>
        </w:rPr>
        <w:t xml:space="preserve">, </w:t>
      </w:r>
      <w:r w:rsidR="00391E57">
        <w:rPr>
          <w:rFonts w:eastAsia="Calibri"/>
        </w:rPr>
        <w:t>equal</w:t>
      </w:r>
      <w:r>
        <w:rPr>
          <w:rFonts w:eastAsia="Calibri"/>
        </w:rPr>
        <w:t>s</w:t>
      </w:r>
      <w:r w:rsidR="00391E57">
        <w:rPr>
          <w:rFonts w:eastAsia="Calibri"/>
        </w:rPr>
        <w:t xml:space="preserve"> the manufacturer price per dose</w:t>
      </w:r>
      <w:r>
        <w:rPr>
          <w:rFonts w:eastAsia="Calibri"/>
        </w:rPr>
        <w:t xml:space="preserve"> (</w:t>
      </w:r>
      <m:oMath>
        <m:r>
          <w:rPr>
            <w:rFonts w:ascii="Cambria Math" w:eastAsia="Calibri" w:hAnsi="Cambria Math"/>
          </w:rPr>
          <m:t>p</m:t>
        </m:r>
      </m:oMath>
      <w:r>
        <w:rPr>
          <w:rFonts w:eastAsia="Calibri"/>
        </w:rPr>
        <w:t>)</w:t>
      </w:r>
      <w:r w:rsidR="008172EE">
        <w:rPr>
          <w:rFonts w:eastAsia="Calibri"/>
        </w:rPr>
        <w:t>,</w:t>
      </w:r>
      <w:r>
        <w:rPr>
          <w:rFonts w:eastAsia="Calibri"/>
        </w:rPr>
        <w:t xml:space="preserve"> </w:t>
      </w:r>
      <w:r w:rsidR="00391E57">
        <w:rPr>
          <w:rFonts w:eastAsia="Calibri"/>
        </w:rPr>
        <w:t>plus the AMC subsidy</w:t>
      </w:r>
      <w:r>
        <w:rPr>
          <w:rFonts w:eastAsia="Calibri"/>
        </w:rPr>
        <w:t xml:space="preserve"> (</w:t>
      </w:r>
      <w:r w:rsidR="008172EE">
        <w:rPr>
          <w:rFonts w:eastAsia="Calibri"/>
        </w:rPr>
        <w:t xml:space="preserve">denoted </w:t>
      </w:r>
      <m:oMath>
        <m:r>
          <w:rPr>
            <w:rFonts w:ascii="Cambria Math" w:eastAsia="Calibri" w:hAnsi="Cambria Math"/>
          </w:rPr>
          <m:t>s</m:t>
        </m:r>
      </m:oMath>
      <w:r>
        <w:rPr>
          <w:rFonts w:eastAsia="Calibri"/>
        </w:rPr>
        <w:t>)</w:t>
      </w:r>
      <w:r w:rsidR="00391E57">
        <w:rPr>
          <w:rFonts w:eastAsia="Calibri"/>
        </w:rPr>
        <w:t xml:space="preserve">, plus the administrative costs of distributing the vaccine </w:t>
      </w:r>
      <w:r w:rsidR="008172EE">
        <w:rPr>
          <w:rFonts w:eastAsia="Calibri"/>
        </w:rPr>
        <w:t xml:space="preserve">(denoted </w:t>
      </w:r>
      <m:oMath>
        <m:r>
          <w:rPr>
            <w:rFonts w:ascii="Cambria Math" w:eastAsia="Calibri" w:hAnsi="Cambria Math"/>
          </w:rPr>
          <m:t>a</m:t>
        </m:r>
      </m:oMath>
      <w:r w:rsidR="008172EE">
        <w:rPr>
          <w:rFonts w:eastAsia="Calibri"/>
        </w:rPr>
        <w:t xml:space="preserve">), </w:t>
      </w:r>
      <w:r w:rsidR="00391E57">
        <w:rPr>
          <w:rFonts w:eastAsia="Calibri"/>
        </w:rPr>
        <w:t>minus the country co-payment</w:t>
      </w:r>
      <w:r w:rsidR="008172EE">
        <w:rPr>
          <w:rFonts w:eastAsia="Calibri"/>
        </w:rPr>
        <w:t xml:space="preserve"> (</w:t>
      </w:r>
      <m:oMath>
        <m:r>
          <w:rPr>
            <w:rFonts w:ascii="Cambria Math" w:hAnsi="Cambria Math"/>
          </w:rPr>
          <m:t>k</m:t>
        </m:r>
      </m:oMath>
      <w:r w:rsidR="008172EE">
        <w:rPr>
          <w:rFonts w:eastAsia="Calibr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2"/>
        <w:gridCol w:w="698"/>
      </w:tblGrid>
      <w:tr w:rsidR="008172EE" w14:paraId="6F633669" w14:textId="77777777" w:rsidTr="00D369C3">
        <w:tc>
          <w:tcPr>
            <w:tcW w:w="9085" w:type="dxa"/>
            <w:vAlign w:val="center"/>
          </w:tcPr>
          <w:p w14:paraId="7F3152E4" w14:textId="1EF6A352" w:rsidR="008172EE" w:rsidRPr="0099628A" w:rsidRDefault="008172EE" w:rsidP="00D369C3">
            <w:pPr>
              <w:spacing w:before="120" w:after="120" w:line="360" w:lineRule="auto"/>
              <w:rPr>
                <w:rFonts w:eastAsiaTheme="minorEastAsia" w:cs="Times New Roman"/>
                <w:iCs/>
              </w:rPr>
            </w:pPr>
            <m:oMathPara>
              <m:oMathParaPr>
                <m:jc m:val="center"/>
              </m:oMathParaPr>
              <m:oMath>
                <m:r>
                  <w:rPr>
                    <w:rFonts w:ascii="Cambria Math" w:hAnsi="Cambria Math"/>
                  </w:rPr>
                  <m:t>c=p+s+a-</m:t>
                </m:r>
                <w:bookmarkStart w:id="7" w:name="OLE_LINK1"/>
                <m:r>
                  <w:rPr>
                    <w:rFonts w:ascii="Cambria Math" w:hAnsi="Cambria Math"/>
                  </w:rPr>
                  <m:t>k</m:t>
                </m:r>
                <w:bookmarkEnd w:id="7"/>
                <m:r>
                  <w:rPr>
                    <w:rFonts w:ascii="Cambria Math" w:hAnsi="Cambria Math"/>
                  </w:rPr>
                  <m:t>.</m:t>
                </m:r>
              </m:oMath>
            </m:oMathPara>
          </w:p>
        </w:tc>
        <w:tc>
          <w:tcPr>
            <w:tcW w:w="473" w:type="dxa"/>
            <w:vAlign w:val="center"/>
          </w:tcPr>
          <w:p w14:paraId="2245EB5E" w14:textId="091BCB21" w:rsidR="008172EE" w:rsidRDefault="008172EE" w:rsidP="00D369C3">
            <w:pPr>
              <w:spacing w:before="120" w:after="120" w:line="360" w:lineRule="auto"/>
              <w:rPr>
                <w:rFonts w:cs="Times New Roman"/>
              </w:rPr>
            </w:pPr>
            <w:r>
              <w:rPr>
                <w:rFonts w:cs="Times New Roman"/>
              </w:rPr>
              <w:t>(1)</w:t>
            </w:r>
          </w:p>
        </w:tc>
      </w:tr>
    </w:tbl>
    <w:p w14:paraId="278CD06E" w14:textId="4BABA21E" w:rsidR="00391E57" w:rsidRDefault="00391E57" w:rsidP="00391E57">
      <w:pPr>
        <w:rPr>
          <w:rFonts w:eastAsia="Calibri"/>
        </w:rPr>
      </w:pPr>
      <w:r>
        <w:rPr>
          <w:rFonts w:eastAsia="Calibri"/>
        </w:rPr>
        <w:t xml:space="preserve">The </w:t>
      </w:r>
      <w:r w:rsidR="008172EE">
        <w:rPr>
          <w:rFonts w:eastAsia="Calibri"/>
        </w:rPr>
        <w:t xml:space="preserve">AMC designer’s </w:t>
      </w:r>
      <w:r w:rsidR="00C85372">
        <w:rPr>
          <w:rFonts w:eastAsia="Calibri"/>
        </w:rPr>
        <w:t xml:space="preserve">objective function (denoted </w:t>
      </w:r>
      <m:oMath>
        <m:r>
          <w:rPr>
            <w:rFonts w:ascii="Cambria Math" w:eastAsia="Calibri" w:hAnsi="Cambria Math"/>
          </w:rPr>
          <m:t>W</m:t>
        </m:r>
      </m:oMath>
      <w:r w:rsidR="00C85372">
        <w:rPr>
          <w:rFonts w:eastAsia="Calibri"/>
        </w:rPr>
        <w:t xml:space="preserve"> for </w:t>
      </w:r>
      <w:r w:rsidR="00885854">
        <w:rPr>
          <w:rFonts w:eastAsia="Calibri"/>
        </w:rPr>
        <w:t>welfare</w:t>
      </w:r>
      <w:r w:rsidR="00C85372">
        <w:rPr>
          <w:rFonts w:eastAsia="Calibri"/>
        </w:rPr>
        <w:t xml:space="preserve">) is </w:t>
      </w:r>
      <w:r w:rsidR="008172EE">
        <w:rPr>
          <w:rFonts w:eastAsia="Calibri"/>
        </w:rPr>
        <w:t xml:space="preserve">the </w:t>
      </w:r>
      <w:r>
        <w:rPr>
          <w:rFonts w:eastAsia="Calibri"/>
        </w:rPr>
        <w:t xml:space="preserve">expected health benefit </w:t>
      </w:r>
      <w:r w:rsidR="008172EE">
        <w:rPr>
          <w:rFonts w:eastAsia="Calibri"/>
        </w:rPr>
        <w:t xml:space="preserve">that can be generated by its budget: </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2"/>
        <w:gridCol w:w="698"/>
      </w:tblGrid>
      <w:tr w:rsidR="00C85372" w14:paraId="252D2E0C" w14:textId="77777777" w:rsidTr="007948C9">
        <w:tc>
          <w:tcPr>
            <w:tcW w:w="8662" w:type="dxa"/>
            <w:vAlign w:val="center"/>
          </w:tcPr>
          <w:p w14:paraId="17FEA85F" w14:textId="1C098208" w:rsidR="00C85372" w:rsidRPr="00C85372" w:rsidRDefault="00885854" w:rsidP="007948C9">
            <w:pPr>
              <w:jc w:val="center"/>
              <w:rPr>
                <w:rFonts w:eastAsia="Calibri" w:cs="Times New Roman"/>
                <w:iCs/>
              </w:rPr>
            </w:pPr>
            <m:oMathPara>
              <m:oMath>
                <m:r>
                  <w:rPr>
                    <w:rFonts w:ascii="Cambria Math" w:eastAsia="Calibri" w:hAnsi="Cambria Math"/>
                  </w:rPr>
                  <m:t>W</m:t>
                </m:r>
                <m:r>
                  <w:rPr>
                    <w:rFonts w:ascii="Cambria Math" w:eastAsia="Calibri" w:hAnsi="Cambria Math" w:cs="Times New Roman"/>
                  </w:rPr>
                  <m:t>=</m:t>
                </m:r>
                <w:bookmarkStart w:id="8" w:name="OLE_LINK10"/>
                <m:r>
                  <w:rPr>
                    <w:rFonts w:ascii="Cambria Math" w:eastAsia="Calibri" w:hAnsi="Cambria Math" w:cs="Times New Roman"/>
                  </w:rPr>
                  <m:t>f(p)</m:t>
                </m:r>
                <w:bookmarkEnd w:id="8"/>
                <m:sSub>
                  <m:sSubPr>
                    <m:ctrlPr>
                      <w:rPr>
                        <w:rFonts w:ascii="Cambria Math" w:eastAsia="Calibri" w:hAnsi="Cambria Math" w:cs="Times New Roman"/>
                        <w:i/>
                      </w:rPr>
                    </m:ctrlPr>
                  </m:sSubPr>
                  <m:e>
                    <m:r>
                      <w:rPr>
                        <w:rFonts w:ascii="Cambria Math" w:eastAsia="Calibri" w:hAnsi="Cambria Math"/>
                      </w:rPr>
                      <m:t>h</m:t>
                    </m:r>
                  </m:e>
                  <m:sub>
                    <m:r>
                      <w:rPr>
                        <w:rFonts w:ascii="Cambria Math" w:eastAsia="Calibri" w:hAnsi="Cambria Math"/>
                      </w:rPr>
                      <m:t>o</m:t>
                    </m:r>
                  </m:sub>
                </m:sSub>
                <m:r>
                  <w:rPr>
                    <w:rFonts w:ascii="Cambria Math" w:eastAsia="Calibri" w:hAnsi="Cambria Math"/>
                  </w:rPr>
                  <m:t>B</m:t>
                </m:r>
                <m:r>
                  <w:rPr>
                    <w:rFonts w:ascii="Cambria Math" w:eastAsia="Calibri" w:hAnsi="Cambria Math" w:cs="Times New Roman"/>
                  </w:rPr>
                  <m:t>+</m:t>
                </m:r>
                <m:r>
                  <w:rPr>
                    <w:rFonts w:ascii="Cambria Math" w:eastAsia="Calibri" w:hAnsi="Cambria Math"/>
                  </w:rPr>
                  <m:t>x</m:t>
                </m:r>
                <m:d>
                  <m:dPr>
                    <m:ctrlPr>
                      <w:rPr>
                        <w:rFonts w:ascii="Cambria Math" w:eastAsia="Calibri" w:hAnsi="Cambria Math"/>
                        <w:i/>
                      </w:rPr>
                    </m:ctrlPr>
                  </m:dPr>
                  <m:e>
                    <m:r>
                      <w:rPr>
                        <w:rFonts w:ascii="Cambria Math" w:eastAsia="Calibri" w:hAnsi="Cambria Math"/>
                      </w:rPr>
                      <m:t>p</m:t>
                    </m:r>
                  </m:e>
                </m:d>
                <m:d>
                  <m:dPr>
                    <m:begChr m:val="{"/>
                    <m:endChr m:val="}"/>
                    <m:ctrlPr>
                      <w:rPr>
                        <w:rFonts w:ascii="Cambria Math" w:eastAsia="Calibri" w:hAnsi="Cambria Math" w:cs="Times New Roman"/>
                        <w:i/>
                      </w:rPr>
                    </m:ctrlPr>
                  </m:dPr>
                  <m:e>
                    <m:r>
                      <w:rPr>
                        <w:rFonts w:ascii="Cambria Math" w:eastAsia="Calibri" w:hAnsi="Cambria Math"/>
                      </w:rPr>
                      <m:t>q</m:t>
                    </m:r>
                    <m:d>
                      <m:dPr>
                        <m:ctrlPr>
                          <w:rPr>
                            <w:rFonts w:ascii="Cambria Math" w:eastAsia="Calibri" w:hAnsi="Cambria Math"/>
                            <w:i/>
                          </w:rPr>
                        </m:ctrlPr>
                      </m:dPr>
                      <m:e>
                        <m:r>
                          <w:rPr>
                            <w:rFonts w:ascii="Cambria Math" w:eastAsia="Calibri" w:hAnsi="Cambria Math"/>
                          </w:rPr>
                          <m:t>k</m:t>
                        </m:r>
                      </m:e>
                    </m:d>
                    <m:sSub>
                      <m:sSubPr>
                        <m:ctrlPr>
                          <w:rPr>
                            <w:rFonts w:ascii="Cambria Math" w:eastAsia="Calibri" w:hAnsi="Cambria Math" w:cs="Times New Roman"/>
                            <w:i/>
                          </w:rPr>
                        </m:ctrlPr>
                      </m:sSubPr>
                      <m:e>
                        <m:r>
                          <w:rPr>
                            <w:rFonts w:ascii="Cambria Math" w:eastAsia="Calibri" w:hAnsi="Cambria Math"/>
                          </w:rPr>
                          <m:t>h</m:t>
                        </m:r>
                      </m:e>
                      <m:sub>
                        <m:r>
                          <w:rPr>
                            <w:rFonts w:ascii="Cambria Math" w:eastAsia="Calibri" w:hAnsi="Cambria Math"/>
                          </w:rPr>
                          <m:t>a</m:t>
                        </m:r>
                      </m:sub>
                    </m:sSub>
                    <m:r>
                      <w:rPr>
                        <w:rFonts w:ascii="Cambria Math" w:eastAsiaTheme="minorEastAsia" w:hAnsi="Cambria Math" w:cs="Times New Roman"/>
                        <w:lang w:eastAsia="zh-CN"/>
                      </w:rPr>
                      <m:t>+</m:t>
                    </m:r>
                    <m:d>
                      <m:dPr>
                        <m:begChr m:val="["/>
                        <m:endChr m:val="]"/>
                        <m:ctrlPr>
                          <w:rPr>
                            <w:rFonts w:ascii="Cambria Math" w:eastAsiaTheme="minorEastAsia" w:hAnsi="Cambria Math" w:cs="Times New Roman"/>
                            <w:i/>
                            <w:lang w:eastAsia="zh-CN"/>
                          </w:rPr>
                        </m:ctrlPr>
                      </m:dPr>
                      <m:e>
                        <m:r>
                          <w:rPr>
                            <w:rFonts w:ascii="Cambria Math" w:eastAsiaTheme="minorEastAsia" w:hAnsi="Cambria Math"/>
                            <w:lang w:eastAsia="zh-CN"/>
                          </w:rPr>
                          <m:t>B</m:t>
                        </m:r>
                        <m:r>
                          <w:rPr>
                            <w:rFonts w:ascii="Cambria Math" w:eastAsiaTheme="minorEastAsia" w:hAnsi="Cambria Math" w:cs="Times New Roman"/>
                            <w:lang w:eastAsia="zh-CN"/>
                          </w:rPr>
                          <m:t>-</m:t>
                        </m:r>
                        <m:r>
                          <w:rPr>
                            <w:rFonts w:ascii="Cambria Math" w:eastAsia="Calibri" w:hAnsi="Cambria Math"/>
                          </w:rPr>
                          <m:t>q</m:t>
                        </m:r>
                        <m:d>
                          <m:dPr>
                            <m:ctrlPr>
                              <w:rPr>
                                <w:rFonts w:ascii="Cambria Math" w:eastAsia="Calibri" w:hAnsi="Cambria Math" w:cs="Times New Roman"/>
                                <w:i/>
                              </w:rPr>
                            </m:ctrlPr>
                          </m:dPr>
                          <m:e>
                            <m:r>
                              <w:rPr>
                                <w:rFonts w:ascii="Cambria Math" w:eastAsia="Calibri" w:hAnsi="Cambria Math"/>
                              </w:rPr>
                              <m:t>k</m:t>
                            </m:r>
                          </m:e>
                        </m:d>
                        <m:r>
                          <w:rPr>
                            <w:rFonts w:ascii="Cambria Math" w:eastAsia="Calibri" w:hAnsi="Cambria Math"/>
                          </w:rPr>
                          <m:t>c</m:t>
                        </m:r>
                      </m:e>
                    </m:d>
                    <m:sSub>
                      <m:sSubPr>
                        <m:ctrlPr>
                          <w:rPr>
                            <w:rFonts w:ascii="Cambria Math" w:eastAsia="Calibri" w:hAnsi="Cambria Math" w:cs="Times New Roman"/>
                            <w:i/>
                          </w:rPr>
                        </m:ctrlPr>
                      </m:sSubPr>
                      <m:e>
                        <m:r>
                          <w:rPr>
                            <w:rFonts w:ascii="Cambria Math" w:eastAsia="Calibri" w:hAnsi="Cambria Math"/>
                          </w:rPr>
                          <m:t>h</m:t>
                        </m:r>
                      </m:e>
                      <m:sub>
                        <m:r>
                          <w:rPr>
                            <w:rFonts w:ascii="Cambria Math" w:eastAsia="Calibri" w:hAnsi="Cambria Math"/>
                          </w:rPr>
                          <m:t>o</m:t>
                        </m:r>
                      </m:sub>
                    </m:sSub>
                  </m:e>
                </m:d>
                <m:r>
                  <w:rPr>
                    <w:rFonts w:ascii="Cambria Math" w:eastAsia="Calibri" w:hAnsi="Cambria Math" w:cs="Times New Roman"/>
                  </w:rPr>
                  <m:t>.</m:t>
                </m:r>
              </m:oMath>
            </m:oMathPara>
          </w:p>
        </w:tc>
        <w:tc>
          <w:tcPr>
            <w:tcW w:w="698" w:type="dxa"/>
          </w:tcPr>
          <w:p w14:paraId="1F8DFCEF" w14:textId="77777777" w:rsidR="00C85372" w:rsidRDefault="00C85372" w:rsidP="00D369C3">
            <w:pPr>
              <w:spacing w:before="120" w:after="120" w:line="360" w:lineRule="auto"/>
              <w:rPr>
                <w:rFonts w:cs="Times New Roman"/>
              </w:rPr>
            </w:pPr>
            <w:r>
              <w:rPr>
                <w:rFonts w:cs="Times New Roman"/>
              </w:rPr>
              <w:t>(2)</w:t>
            </w:r>
          </w:p>
        </w:tc>
      </w:tr>
    </w:tbl>
    <w:p w14:paraId="05056A5B" w14:textId="32A720DE" w:rsidR="00D369C3" w:rsidRDefault="007948C9" w:rsidP="0076247B">
      <w:pPr>
        <w:ind w:firstLine="0"/>
        <w:rPr>
          <w:rFonts w:eastAsia="Calibri"/>
        </w:rPr>
      </w:pPr>
      <w:r>
        <w:rPr>
          <w:rFonts w:eastAsia="Calibri"/>
        </w:rPr>
        <w:t xml:space="preserve">To </w:t>
      </w:r>
      <w:r w:rsidR="00D369C3">
        <w:rPr>
          <w:rFonts w:eastAsia="Calibri"/>
        </w:rPr>
        <w:t xml:space="preserve">derive </w:t>
      </w:r>
      <w:r>
        <w:rPr>
          <w:rFonts w:eastAsia="Calibri"/>
        </w:rPr>
        <w:t xml:space="preserve">equation (2), </w:t>
      </w:r>
      <w:r w:rsidR="00D369C3">
        <w:rPr>
          <w:rFonts w:eastAsia="Calibri"/>
        </w:rPr>
        <w:t xml:space="preserve">note that </w:t>
      </w:r>
      <w:r>
        <w:rPr>
          <w:rFonts w:eastAsia="Calibri"/>
        </w:rPr>
        <w:t xml:space="preserve">with probability </w:t>
      </w:r>
      <m:oMath>
        <m:r>
          <w:rPr>
            <w:rFonts w:ascii="Cambria Math" w:eastAsia="Calibri" w:hAnsi="Cambria Math"/>
          </w:rPr>
          <m:t>f(p),</m:t>
        </m:r>
      </m:oMath>
      <w:r>
        <w:rPr>
          <w:rFonts w:eastAsia="Calibri"/>
        </w:rPr>
        <w:t xml:space="preserve"> </w:t>
      </w:r>
      <w:r w:rsidR="00391E57">
        <w:rPr>
          <w:rFonts w:eastAsia="Calibri"/>
        </w:rPr>
        <w:t xml:space="preserve">firms </w:t>
      </w:r>
      <w:r>
        <w:rPr>
          <w:rFonts w:eastAsia="Calibri"/>
        </w:rPr>
        <w:t xml:space="preserve">decline </w:t>
      </w:r>
      <w:r w:rsidR="00391E57">
        <w:rPr>
          <w:rFonts w:eastAsia="Calibri"/>
        </w:rPr>
        <w:t>to provide vaccine</w:t>
      </w:r>
      <w:r>
        <w:rPr>
          <w:rFonts w:eastAsia="Calibri"/>
        </w:rPr>
        <w:t xml:space="preserve"> at the offered price </w:t>
      </w:r>
      <m:oMath>
        <m:r>
          <w:rPr>
            <w:rFonts w:ascii="Cambria Math" w:eastAsia="Calibri" w:hAnsi="Cambria Math"/>
          </w:rPr>
          <m:t>p</m:t>
        </m:r>
      </m:oMath>
      <w:r w:rsidR="00391E57">
        <w:rPr>
          <w:rFonts w:eastAsia="Calibri"/>
        </w:rPr>
        <w:t>,</w:t>
      </w:r>
      <w:r>
        <w:rPr>
          <w:rFonts w:eastAsia="Calibri"/>
        </w:rPr>
        <w:t xml:space="preserve"> in which case </w:t>
      </w:r>
      <w:r w:rsidR="00391E57">
        <w:rPr>
          <w:rFonts w:eastAsia="Calibri"/>
        </w:rPr>
        <w:t xml:space="preserve">the AMC </w:t>
      </w:r>
      <w:r>
        <w:rPr>
          <w:rFonts w:eastAsia="Calibri"/>
        </w:rPr>
        <w:t xml:space="preserve">budget </w:t>
      </w:r>
      <m:oMath>
        <m:r>
          <w:rPr>
            <w:rFonts w:ascii="Cambria Math" w:eastAsia="Calibri" w:hAnsi="Cambria Math"/>
          </w:rPr>
          <m:t>B</m:t>
        </m:r>
      </m:oMath>
      <w:r>
        <w:rPr>
          <w:rFonts w:eastAsia="Calibri"/>
        </w:rPr>
        <w:t xml:space="preserve"> is spent on </w:t>
      </w:r>
      <w:r w:rsidR="007D27B8">
        <w:rPr>
          <w:rFonts w:eastAsia="Calibri"/>
        </w:rPr>
        <w:t>an</w:t>
      </w:r>
      <w:r>
        <w:rPr>
          <w:rFonts w:eastAsia="Calibri"/>
        </w:rPr>
        <w:t xml:space="preserve"> </w:t>
      </w:r>
      <w:r w:rsidR="00391E57">
        <w:rPr>
          <w:rFonts w:eastAsia="Calibri"/>
        </w:rPr>
        <w:t xml:space="preserve">alternative intervention </w:t>
      </w:r>
      <w:r w:rsidR="007D27B8">
        <w:rPr>
          <w:rFonts w:eastAsia="Calibri"/>
        </w:rPr>
        <w:t xml:space="preserve">which brings </w:t>
      </w:r>
      <w:r>
        <w:rPr>
          <w:rFonts w:eastAsia="Calibri"/>
        </w:rPr>
        <w:t xml:space="preserve">health </w:t>
      </w:r>
      <w:r w:rsidR="00391E57">
        <w:rPr>
          <w:rFonts w:eastAsia="Calibri"/>
        </w:rPr>
        <w:t xml:space="preserve">benefit per dollar </w:t>
      </w:r>
      <m:oMath>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o</m:t>
            </m:r>
          </m:sub>
        </m:sSub>
      </m:oMath>
      <w:r w:rsidR="007D27B8">
        <w:rPr>
          <w:rFonts w:eastAsia="Calibri"/>
        </w:rPr>
        <w:t xml:space="preserve"> for certain</w:t>
      </w:r>
      <w:r w:rsidR="00391E57">
        <w:rPr>
          <w:rFonts w:eastAsia="Calibri"/>
        </w:rPr>
        <w:t xml:space="preserve">. </w:t>
      </w:r>
      <w:r w:rsidR="0076247B">
        <w:rPr>
          <w:rFonts w:eastAsia="Calibri"/>
        </w:rPr>
        <w:t xml:space="preserve">With probability </w:t>
      </w:r>
      <m:oMath>
        <m:r>
          <w:rPr>
            <w:rFonts w:ascii="Cambria Math" w:eastAsia="Calibri" w:hAnsi="Cambria Math"/>
          </w:rPr>
          <m:t>x</m:t>
        </m:r>
        <m:d>
          <m:dPr>
            <m:ctrlPr>
              <w:rPr>
                <w:rFonts w:ascii="Cambria Math" w:eastAsia="Calibri" w:hAnsi="Cambria Math"/>
                <w:i/>
              </w:rPr>
            </m:ctrlPr>
          </m:dPr>
          <m:e>
            <m:r>
              <w:rPr>
                <w:rFonts w:ascii="Cambria Math" w:eastAsia="Calibri" w:hAnsi="Cambria Math"/>
              </w:rPr>
              <m:t>p</m:t>
            </m:r>
          </m:e>
        </m:d>
      </m:oMath>
      <w:r w:rsidR="0076247B">
        <w:rPr>
          <w:rFonts w:eastAsia="Calibri"/>
        </w:rPr>
        <w:t xml:space="preserve">, </w:t>
      </w:r>
      <w:r>
        <w:rPr>
          <w:rFonts w:eastAsia="Calibri"/>
        </w:rPr>
        <w:t>firms participate</w:t>
      </w:r>
      <w:r w:rsidR="0076247B">
        <w:rPr>
          <w:rFonts w:eastAsia="Calibri"/>
        </w:rPr>
        <w:t xml:space="preserve"> in the AMC. In that case, </w:t>
      </w:r>
      <w:r>
        <w:rPr>
          <w:rFonts w:eastAsia="Calibri"/>
        </w:rPr>
        <w:t>the</w:t>
      </w:r>
      <w:r w:rsidR="00391E57">
        <w:rPr>
          <w:rFonts w:eastAsia="Calibri"/>
        </w:rPr>
        <w:t xml:space="preserve"> AMC designer </w:t>
      </w:r>
      <w:r>
        <w:rPr>
          <w:rFonts w:eastAsia="Calibri"/>
        </w:rPr>
        <w:t xml:space="preserve">orders </w:t>
      </w:r>
      <w:r w:rsidR="0076247B">
        <w:rPr>
          <w:rFonts w:eastAsia="Calibri"/>
        </w:rPr>
        <w:t xml:space="preserve">the number of doses, </w:t>
      </w:r>
      <m:oMath>
        <m:r>
          <w:rPr>
            <w:rFonts w:ascii="Cambria Math" w:eastAsia="Calibri" w:hAnsi="Cambria Math"/>
          </w:rPr>
          <m:t>q(k)</m:t>
        </m:r>
      </m:oMath>
      <w:r w:rsidR="0076247B">
        <w:rPr>
          <w:rFonts w:eastAsia="Calibri"/>
        </w:rPr>
        <w:t xml:space="preserve">, that </w:t>
      </w:r>
      <w:r>
        <w:rPr>
          <w:rFonts w:eastAsia="Calibri"/>
        </w:rPr>
        <w:t xml:space="preserve">adopting countries </w:t>
      </w:r>
      <w:r w:rsidR="005521CF">
        <w:rPr>
          <w:rFonts w:eastAsia="Calibri"/>
        </w:rPr>
        <w:t>order</w:t>
      </w:r>
      <w:r w:rsidR="00391E57">
        <w:rPr>
          <w:rFonts w:eastAsia="Calibri"/>
          <w:iCs/>
        </w:rPr>
        <w:t xml:space="preserve">. </w:t>
      </w:r>
      <w:r>
        <w:rPr>
          <w:rFonts w:eastAsia="Calibri"/>
          <w:iCs/>
        </w:rPr>
        <w:t xml:space="preserve">The remaining budget </w:t>
      </w:r>
      <m:oMath>
        <m:r>
          <w:rPr>
            <w:rFonts w:ascii="Cambria Math" w:eastAsiaTheme="minorEastAsia" w:hAnsi="Cambria Math"/>
            <w:lang w:eastAsia="zh-CN"/>
          </w:rPr>
          <m:t>B-</m:t>
        </m:r>
        <m:r>
          <w:rPr>
            <w:rFonts w:ascii="Cambria Math" w:eastAsia="Calibri" w:hAnsi="Cambria Math"/>
          </w:rPr>
          <m:t>q</m:t>
        </m:r>
        <m:d>
          <m:dPr>
            <m:ctrlPr>
              <w:rPr>
                <w:rFonts w:ascii="Cambria Math" w:eastAsia="Calibri" w:hAnsi="Cambria Math"/>
                <w:i/>
              </w:rPr>
            </m:ctrlPr>
          </m:dPr>
          <m:e>
            <m:r>
              <w:rPr>
                <w:rFonts w:ascii="Cambria Math" w:eastAsia="Calibri" w:hAnsi="Cambria Math"/>
              </w:rPr>
              <m:t>k</m:t>
            </m:r>
          </m:e>
        </m:d>
        <m:r>
          <w:rPr>
            <w:rFonts w:ascii="Cambria Math" w:eastAsia="Calibri" w:hAnsi="Cambria Math"/>
          </w:rPr>
          <m:t>c</m:t>
        </m:r>
      </m:oMath>
      <w:r w:rsidR="0076247B">
        <w:rPr>
          <w:rFonts w:eastAsia="Calibri"/>
          <w:iCs/>
        </w:rPr>
        <w:t xml:space="preserve"> </w:t>
      </w:r>
      <w:r>
        <w:rPr>
          <w:rFonts w:eastAsia="Calibri"/>
          <w:iCs/>
        </w:rPr>
        <w:t>is spent on the alternative intervention.</w:t>
      </w:r>
      <w:r w:rsidR="0076247B">
        <w:rPr>
          <w:rFonts w:eastAsia="Calibri"/>
          <w:iCs/>
        </w:rPr>
        <w:t xml:space="preserve"> Equation (2) embodies the assumption that the AMC designer does not value firm profits</w:t>
      </w:r>
      <w:r w:rsidR="00F47D5E">
        <w:rPr>
          <w:rFonts w:eastAsia="Calibri"/>
          <w:iCs/>
        </w:rPr>
        <w:t xml:space="preserve"> </w:t>
      </w:r>
      <w:r w:rsidR="0076247B">
        <w:rPr>
          <w:rFonts w:eastAsia="Calibri"/>
          <w:iCs/>
        </w:rPr>
        <w:t>nor money saved by</w:t>
      </w:r>
      <w:r w:rsidR="00391E57">
        <w:rPr>
          <w:rFonts w:eastAsia="Calibri"/>
        </w:rPr>
        <w:t xml:space="preserve"> developing countries in lieu of making copayments. </w:t>
      </w:r>
      <w:r w:rsidR="00101C7D">
        <w:rPr>
          <w:rFonts w:eastAsia="Calibri"/>
        </w:rPr>
        <w:t xml:space="preserve">If </w:t>
      </w:r>
      <w:r w:rsidR="0076247B">
        <w:rPr>
          <w:rFonts w:eastAsia="Calibri"/>
        </w:rPr>
        <w:t xml:space="preserve">the designer </w:t>
      </w:r>
      <w:r w:rsidR="00D369C3">
        <w:rPr>
          <w:rFonts w:eastAsia="Calibri"/>
        </w:rPr>
        <w:t xml:space="preserve">were to place </w:t>
      </w:r>
      <w:r w:rsidR="0076247B">
        <w:rPr>
          <w:rFonts w:eastAsia="Calibri"/>
        </w:rPr>
        <w:t xml:space="preserve">some </w:t>
      </w:r>
      <w:r w:rsidR="00885854">
        <w:rPr>
          <w:rFonts w:eastAsia="Calibri"/>
        </w:rPr>
        <w:t xml:space="preserve">welfare </w:t>
      </w:r>
      <w:r w:rsidR="0076247B">
        <w:rPr>
          <w:rFonts w:eastAsia="Calibri"/>
        </w:rPr>
        <w:t xml:space="preserve">weight on </w:t>
      </w:r>
      <w:r w:rsidR="00D369C3">
        <w:rPr>
          <w:rFonts w:eastAsia="Calibri"/>
        </w:rPr>
        <w:t>savings to developing countries from lower copayments, then subsequent calculations would favor lower copayments.</w:t>
      </w:r>
    </w:p>
    <w:p w14:paraId="036E8044" w14:textId="4B7AB506" w:rsidR="00D369C3" w:rsidRPr="00D369C3" w:rsidRDefault="00D369C3" w:rsidP="00D369C3">
      <w:pPr>
        <w:rPr>
          <w:rFonts w:eastAsia="Calibri"/>
        </w:rPr>
      </w:pPr>
      <w:r>
        <w:rPr>
          <w:rFonts w:eastAsia="Calibri"/>
        </w:rPr>
        <w:t>Substituting from equation (1) into (2) and rearranging yields</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2"/>
        <w:gridCol w:w="698"/>
      </w:tblGrid>
      <w:tr w:rsidR="00D369C3" w14:paraId="1990AE64" w14:textId="77777777" w:rsidTr="00D369C3">
        <w:tc>
          <w:tcPr>
            <w:tcW w:w="8662" w:type="dxa"/>
            <w:vAlign w:val="center"/>
          </w:tcPr>
          <w:p w14:paraId="7410EC9E" w14:textId="14A9929A" w:rsidR="00D369C3" w:rsidRPr="00C85372" w:rsidRDefault="00885854" w:rsidP="00D369C3">
            <w:pPr>
              <w:jc w:val="center"/>
              <w:rPr>
                <w:rFonts w:eastAsia="Calibri" w:cs="Times New Roman"/>
                <w:iCs/>
              </w:rPr>
            </w:pPr>
            <m:oMathPara>
              <m:oMath>
                <m:r>
                  <w:rPr>
                    <w:rFonts w:ascii="Cambria Math" w:eastAsia="Calibri" w:hAnsi="Cambria Math"/>
                  </w:rPr>
                  <m:t>W=</m:t>
                </m:r>
                <m:sSub>
                  <m:sSubPr>
                    <m:ctrlPr>
                      <w:rPr>
                        <w:rFonts w:ascii="Cambria Math" w:eastAsia="Calibri" w:hAnsi="Cambria Math" w:cs="Times New Roman"/>
                        <w:i/>
                      </w:rPr>
                    </m:ctrlPr>
                  </m:sSubPr>
                  <m:e>
                    <m:r>
                      <w:rPr>
                        <w:rFonts w:ascii="Cambria Math" w:eastAsia="Calibri" w:hAnsi="Cambria Math"/>
                      </w:rPr>
                      <m:t>h</m:t>
                    </m:r>
                  </m:e>
                  <m:sub>
                    <m:r>
                      <w:rPr>
                        <w:rFonts w:ascii="Cambria Math" w:eastAsia="Calibri" w:hAnsi="Cambria Math"/>
                      </w:rPr>
                      <m:t>o</m:t>
                    </m:r>
                  </m:sub>
                </m:sSub>
                <m:r>
                  <w:rPr>
                    <w:rFonts w:ascii="Cambria Math" w:eastAsia="Calibri" w:hAnsi="Cambria Math"/>
                  </w:rPr>
                  <m:t>B</m:t>
                </m:r>
                <m:r>
                  <w:rPr>
                    <w:rFonts w:ascii="Cambria Math" w:eastAsia="Calibri" w:hAnsi="Cambria Math" w:cs="Times New Roman"/>
                  </w:rPr>
                  <m:t>+</m:t>
                </m:r>
                <m:r>
                  <w:rPr>
                    <w:rFonts w:ascii="Cambria Math" w:eastAsia="Calibri" w:hAnsi="Cambria Math"/>
                  </w:rPr>
                  <m:t>x</m:t>
                </m:r>
                <m:d>
                  <m:dPr>
                    <m:ctrlPr>
                      <w:rPr>
                        <w:rFonts w:ascii="Cambria Math" w:eastAsia="Calibri" w:hAnsi="Cambria Math"/>
                        <w:i/>
                      </w:rPr>
                    </m:ctrlPr>
                  </m:dPr>
                  <m:e>
                    <m:r>
                      <w:rPr>
                        <w:rFonts w:ascii="Cambria Math" w:eastAsia="Calibri" w:hAnsi="Cambria Math"/>
                      </w:rPr>
                      <m:t>p</m:t>
                    </m:r>
                  </m:e>
                </m:d>
                <m:r>
                  <w:rPr>
                    <w:rFonts w:ascii="Cambria Math" w:eastAsia="Calibri" w:hAnsi="Cambria Math"/>
                  </w:rPr>
                  <m:t>q</m:t>
                </m:r>
                <m:d>
                  <m:dPr>
                    <m:ctrlPr>
                      <w:rPr>
                        <w:rFonts w:ascii="Cambria Math" w:eastAsia="Calibri" w:hAnsi="Cambria Math"/>
                        <w:i/>
                      </w:rPr>
                    </m:ctrlPr>
                  </m:dPr>
                  <m:e>
                    <w:bookmarkStart w:id="9" w:name="OLE_LINK2"/>
                    <m:r>
                      <w:rPr>
                        <w:rFonts w:ascii="Cambria Math" w:eastAsia="Calibri" w:hAnsi="Cambria Math"/>
                      </w:rPr>
                      <m:t>k</m:t>
                    </m:r>
                    <w:bookmarkEnd w:id="9"/>
                  </m:e>
                </m:d>
                <m:d>
                  <m:dPr>
                    <m:begChr m:val="["/>
                    <m:endChr m:val="]"/>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a</m:t>
                        </m:r>
                      </m:sub>
                    </m:sSub>
                    <m:r>
                      <w:rPr>
                        <w:rFonts w:ascii="Cambria Math" w:eastAsia="Calibri" w:hAnsi="Cambria Math"/>
                      </w:rPr>
                      <m:t>-</m:t>
                    </m:r>
                    <m:d>
                      <m:dPr>
                        <m:ctrlPr>
                          <w:rPr>
                            <w:rFonts w:ascii="Cambria Math" w:eastAsia="Calibri" w:hAnsi="Cambria Math"/>
                            <w:i/>
                          </w:rPr>
                        </m:ctrlPr>
                      </m:dPr>
                      <m:e>
                        <m:r>
                          <w:rPr>
                            <w:rFonts w:ascii="Cambria Math" w:eastAsia="Calibri" w:hAnsi="Cambria Math"/>
                          </w:rPr>
                          <m:t>s+p+a-k</m:t>
                        </m:r>
                      </m:e>
                    </m:d>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o</m:t>
                        </m:r>
                      </m:sub>
                    </m:sSub>
                  </m:e>
                </m:d>
                <m:r>
                  <w:rPr>
                    <w:rFonts w:ascii="Cambria Math" w:eastAsia="Calibri" w:hAnsi="Cambria Math"/>
                  </w:rPr>
                  <m:t>.</m:t>
                </m:r>
              </m:oMath>
            </m:oMathPara>
          </w:p>
        </w:tc>
        <w:tc>
          <w:tcPr>
            <w:tcW w:w="698" w:type="dxa"/>
          </w:tcPr>
          <w:p w14:paraId="485254EC" w14:textId="1C2CEE39" w:rsidR="00D369C3" w:rsidRDefault="00D369C3" w:rsidP="00D369C3">
            <w:pPr>
              <w:spacing w:before="120" w:after="120" w:line="360" w:lineRule="auto"/>
              <w:rPr>
                <w:rFonts w:cs="Times New Roman"/>
              </w:rPr>
            </w:pPr>
            <w:r>
              <w:rPr>
                <w:rFonts w:cs="Times New Roman"/>
              </w:rPr>
              <w:t>(3)</w:t>
            </w:r>
          </w:p>
        </w:tc>
      </w:tr>
    </w:tbl>
    <w:p w14:paraId="6C2078E8" w14:textId="1A8F30C2" w:rsidR="00391E57" w:rsidRDefault="00303B67" w:rsidP="00A0086D">
      <w:pPr>
        <w:ind w:firstLine="0"/>
        <w:rPr>
          <w:rFonts w:eastAsia="Calibri"/>
          <w:iCs/>
        </w:rPr>
      </w:pPr>
      <w:r>
        <w:rPr>
          <w:rFonts w:eastAsia="Calibri"/>
          <w:iCs/>
        </w:rPr>
        <w:t xml:space="preserve">The designer chooses </w:t>
      </w:r>
      <m:oMath>
        <m:r>
          <w:rPr>
            <w:rFonts w:ascii="Cambria Math" w:eastAsia="Calibri" w:hAnsi="Cambria Math"/>
          </w:rPr>
          <m:t>p</m:t>
        </m:r>
      </m:oMath>
      <w:r>
        <w:rPr>
          <w:rFonts w:eastAsia="Calibri"/>
          <w:iCs/>
        </w:rPr>
        <w:t xml:space="preserve"> and </w:t>
      </w:r>
      <m:oMath>
        <m:r>
          <w:rPr>
            <w:rFonts w:ascii="Cambria Math" w:eastAsia="Calibri" w:hAnsi="Cambria Math"/>
          </w:rPr>
          <m:t>k</m:t>
        </m:r>
      </m:oMath>
      <w:r>
        <w:rPr>
          <w:rFonts w:eastAsia="Calibri"/>
          <w:iCs/>
        </w:rPr>
        <w:t xml:space="preserve"> to maximize </w:t>
      </w:r>
      <w:r w:rsidR="00D369C3">
        <w:rPr>
          <w:rFonts w:eastAsia="Calibri"/>
          <w:iCs/>
        </w:rPr>
        <w:t xml:space="preserve">equation (3). </w:t>
      </w:r>
    </w:p>
    <w:p w14:paraId="6D8AA1CF" w14:textId="0F9BE981" w:rsidR="00391E57" w:rsidRPr="00D369C3" w:rsidRDefault="00D369C3" w:rsidP="00D369C3">
      <w:pPr>
        <w:pStyle w:val="Heading2"/>
      </w:pPr>
      <w:r>
        <w:t xml:space="preserve">2. </w:t>
      </w:r>
      <w:r w:rsidR="00C9577B">
        <w:t>Parameter Calibration</w:t>
      </w:r>
    </w:p>
    <w:p w14:paraId="2DAA99FD" w14:textId="2B3350C1" w:rsidR="00885854" w:rsidRDefault="00C9577B" w:rsidP="00391E57">
      <w:pPr>
        <w:rPr>
          <w:rFonts w:eastAsia="Calibri"/>
        </w:rPr>
      </w:pPr>
      <w:r>
        <w:rPr>
          <w:rFonts w:eastAsia="Calibri"/>
        </w:rPr>
        <w:t>T</w:t>
      </w:r>
      <w:r w:rsidR="00EA4852">
        <w:rPr>
          <w:rFonts w:eastAsia="Calibri"/>
        </w:rPr>
        <w:t>he m</w:t>
      </w:r>
      <w:r w:rsidR="00A2372C">
        <w:rPr>
          <w:rFonts w:eastAsia="Calibri"/>
        </w:rPr>
        <w:t xml:space="preserve">odel parameters </w:t>
      </w:r>
      <w:r w:rsidR="00EA4852">
        <w:rPr>
          <w:rFonts w:eastAsia="Calibri"/>
        </w:rPr>
        <w:t xml:space="preserve">are calibrated </w:t>
      </w:r>
      <w:r w:rsidR="00A2372C">
        <w:rPr>
          <w:rFonts w:eastAsia="Calibri"/>
        </w:rPr>
        <w:t xml:space="preserve">as follows. </w:t>
      </w:r>
      <w:r w:rsidR="00885854">
        <w:rPr>
          <w:rFonts w:eastAsia="Calibri"/>
        </w:rPr>
        <w:t>We fix the AMC subsidy at</w:t>
      </w:r>
      <w:r w:rsidR="00FA1539">
        <w:rPr>
          <w:rFonts w:eastAsia="Calibri"/>
        </w:rPr>
        <w:t xml:space="preserve"> </w:t>
      </w:r>
      <m:oMath>
        <m:r>
          <w:rPr>
            <w:rFonts w:ascii="Cambria Math" w:eastAsia="Calibri" w:hAnsi="Cambria Math"/>
          </w:rPr>
          <m:t>s=$0.75</m:t>
        </m:r>
      </m:oMath>
      <w:r w:rsidR="00FA1539">
        <w:rPr>
          <w:rFonts w:eastAsia="Calibri"/>
        </w:rPr>
        <w:t xml:space="preserve">, its average level in the pilot AMC. We fix </w:t>
      </w:r>
      <w:r w:rsidR="00885854">
        <w:rPr>
          <w:rFonts w:eastAsia="Calibri"/>
        </w:rPr>
        <w:t xml:space="preserve">the administrative cost at </w:t>
      </w:r>
      <w:r w:rsidR="00FA1539">
        <w:rPr>
          <w:rFonts w:eastAsia="Calibri"/>
        </w:rPr>
        <w:t xml:space="preserve">a reasonable, round figure of </w:t>
      </w:r>
      <m:oMath>
        <m:r>
          <w:rPr>
            <w:rFonts w:ascii="Cambria Math" w:eastAsia="Calibri" w:hAnsi="Cambria Math"/>
          </w:rPr>
          <m:t>a=$1.00</m:t>
        </m:r>
      </m:oMath>
      <w:r w:rsidR="00885854">
        <w:rPr>
          <w:rFonts w:eastAsia="Calibri"/>
        </w:rPr>
        <w:t xml:space="preserve">. </w:t>
      </w:r>
      <w:r w:rsidR="000F697A">
        <w:rPr>
          <w:rFonts w:eastAsia="Calibri"/>
        </w:rPr>
        <w:t xml:space="preserve">We start </w:t>
      </w:r>
      <w:r w:rsidR="00AB1BE7">
        <w:rPr>
          <w:rFonts w:eastAsia="Calibri"/>
        </w:rPr>
        <w:t>in the next section</w:t>
      </w:r>
      <w:r w:rsidR="000F697A">
        <w:rPr>
          <w:rFonts w:eastAsia="Calibri"/>
        </w:rPr>
        <w:t xml:space="preserve"> by fixing </w:t>
      </w:r>
      <w:r w:rsidR="00885854">
        <w:rPr>
          <w:rFonts w:eastAsia="Calibri"/>
        </w:rPr>
        <w:t xml:space="preserve">the country copayment at </w:t>
      </w:r>
      <m:oMath>
        <m:r>
          <w:rPr>
            <w:rFonts w:ascii="Cambria Math" w:eastAsia="Calibri" w:hAnsi="Cambria Math"/>
          </w:rPr>
          <m:t>k=$0.20</m:t>
        </m:r>
      </m:oMath>
      <w:r w:rsidR="00AB782A">
        <w:rPr>
          <w:rFonts w:eastAsia="Calibri"/>
        </w:rPr>
        <w:t xml:space="preserve"> as in the pilot AMC</w:t>
      </w:r>
      <w:r w:rsidR="00FA1539">
        <w:rPr>
          <w:rFonts w:eastAsia="Calibri"/>
        </w:rPr>
        <w:t xml:space="preserve">; the section after that examines </w:t>
      </w:r>
      <w:r w:rsidR="00885854">
        <w:rPr>
          <w:rFonts w:eastAsia="Calibri"/>
        </w:rPr>
        <w:t xml:space="preserve">the welfare effects of varying </w:t>
      </w:r>
      <m:oMath>
        <m:r>
          <w:rPr>
            <w:rFonts w:ascii="Cambria Math" w:eastAsia="Calibri" w:hAnsi="Cambria Math"/>
          </w:rPr>
          <m:t>k</m:t>
        </m:r>
      </m:oMath>
      <w:r w:rsidR="00885854">
        <w:rPr>
          <w:rFonts w:eastAsia="Calibri"/>
        </w:rPr>
        <w:t xml:space="preserve">. </w:t>
      </w:r>
      <w:r w:rsidR="00FA1539">
        <w:rPr>
          <w:rFonts w:eastAsia="Calibri"/>
        </w:rPr>
        <w:t xml:space="preserve">Reflecting the observation that firms did participate at the price offered in the pilot AMC in practice, we assume firms certainly participate at the high AMC price, i.e., we set </w:t>
      </w:r>
      <m:oMath>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0</m:t>
            </m:r>
          </m:sub>
        </m:sSub>
        <m:r>
          <w:rPr>
            <w:rFonts w:ascii="Cambria Math" w:eastAsia="Calibri" w:hAnsi="Cambria Math"/>
          </w:rPr>
          <m:t>=1</m:t>
        </m:r>
      </m:oMath>
      <w:r w:rsidR="00FA1539">
        <w:rPr>
          <w:rFonts w:eastAsia="Calibri"/>
        </w:rPr>
        <w:t xml:space="preserve">. </w:t>
      </w:r>
      <w:r w:rsidR="009B3F32">
        <w:rPr>
          <w:rFonts w:eastAsia="Calibri"/>
        </w:rPr>
        <w:tab/>
      </w:r>
    </w:p>
    <w:p w14:paraId="006B5AC5" w14:textId="77777777" w:rsidR="00303B67" w:rsidRDefault="00885854" w:rsidP="00391E57">
      <w:pPr>
        <w:rPr>
          <w:rFonts w:eastAsia="Calibri"/>
        </w:rPr>
      </w:pPr>
      <w:r>
        <w:rPr>
          <w:rFonts w:eastAsia="Calibri"/>
        </w:rPr>
        <w:t xml:space="preserve"> </w:t>
      </w:r>
      <w:r w:rsidR="006B514F">
        <w:rPr>
          <w:rFonts w:eastAsia="Calibri"/>
        </w:rPr>
        <w:t xml:space="preserve">The remaining parameters </w:t>
      </w:r>
      <w:r w:rsidR="00C9577B">
        <w:rPr>
          <w:rFonts w:eastAsia="Calibri"/>
        </w:rPr>
        <w:t xml:space="preserve">to calibrate </w:t>
      </w:r>
      <w:r w:rsidR="006B514F">
        <w:rPr>
          <w:rFonts w:eastAsia="Calibri"/>
        </w:rPr>
        <w:t>are the health benefits</w:t>
      </w:r>
      <w:r w:rsidR="00C9577B">
        <w:rPr>
          <w:rFonts w:eastAsia="Calibri"/>
        </w:rPr>
        <w:t xml:space="preserve">. For </w:t>
      </w:r>
      <m:oMath>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o</m:t>
            </m:r>
          </m:sub>
        </m:sSub>
      </m:oMath>
      <w:r w:rsidR="00AB1BE7">
        <w:rPr>
          <w:rFonts w:eastAsia="Calibri"/>
        </w:rPr>
        <w:t xml:space="preserve">, </w:t>
      </w:r>
      <w:r w:rsidR="00C9577B">
        <w:rPr>
          <w:rFonts w:eastAsia="Calibri"/>
        </w:rPr>
        <w:t>the health benefit of alternative interventions,</w:t>
      </w:r>
      <w:r w:rsidR="00AB1BE7">
        <w:rPr>
          <w:rFonts w:eastAsia="Calibri"/>
        </w:rPr>
        <w:t xml:space="preserve"> </w:t>
      </w:r>
      <w:r w:rsidR="00C9577B">
        <w:rPr>
          <w:rFonts w:eastAsia="Calibri"/>
        </w:rPr>
        <w:t xml:space="preserve">we posit a range of values in </w:t>
      </w:r>
      <w:r w:rsidR="00AB1BE7">
        <w:rPr>
          <w:rFonts w:eastAsia="Calibri"/>
        </w:rPr>
        <w:t xml:space="preserve">the </w:t>
      </w:r>
      <w:r w:rsidR="00C9577B">
        <w:rPr>
          <w:rFonts w:eastAsia="Calibri"/>
        </w:rPr>
        <w:t>sensitivity analysis below.</w:t>
      </w:r>
      <w:r w:rsidR="00A2372C">
        <w:rPr>
          <w:rFonts w:eastAsia="Calibri"/>
        </w:rPr>
        <w:t xml:space="preserve"> </w:t>
      </w:r>
      <w:r w:rsidR="00AB1BE7">
        <w:rPr>
          <w:rFonts w:eastAsia="Calibri"/>
        </w:rPr>
        <w:t xml:space="preserve">Our calibration of </w:t>
      </w:r>
      <m:oMath>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a</m:t>
            </m:r>
          </m:sub>
        </m:sSub>
      </m:oMath>
      <w:r w:rsidR="00AB1BE7">
        <w:rPr>
          <w:rFonts w:eastAsia="Calibri"/>
        </w:rPr>
        <w:t>, the health benefit of a dose of PCV under the AMC program, based on results from Tasslimi, et al. (2011), requires some explanation.</w:t>
      </w:r>
    </w:p>
    <w:p w14:paraId="444DF94C" w14:textId="29E164C0" w:rsidR="00A2372C" w:rsidRDefault="00303B67" w:rsidP="00391E57">
      <w:pPr>
        <w:rPr>
          <w:rFonts w:eastAsia="Calibri"/>
        </w:rPr>
      </w:pPr>
      <w:r>
        <w:rPr>
          <w:rFonts w:eastAsia="Calibri"/>
        </w:rPr>
        <w:t xml:space="preserve">Table 1 provides calculations of </w:t>
      </w:r>
      <w:r w:rsidR="00C323F7">
        <w:rPr>
          <w:rFonts w:eastAsia="Calibri"/>
        </w:rPr>
        <w:t>DALY</w:t>
      </w:r>
      <w:r w:rsidR="00E16326">
        <w:rPr>
          <w:rFonts w:eastAsia="Calibri"/>
        </w:rPr>
        <w:t>s</w:t>
      </w:r>
      <w:r>
        <w:rPr>
          <w:rFonts w:eastAsia="Calibri"/>
        </w:rPr>
        <w:t xml:space="preserve">/dose for </w:t>
      </w:r>
      <w:r w:rsidR="00FC7C8D">
        <w:rPr>
          <w:rFonts w:eastAsia="Calibri"/>
        </w:rPr>
        <w:t>the two</w:t>
      </w:r>
      <w:r>
        <w:rPr>
          <w:rFonts w:eastAsia="Calibri"/>
        </w:rPr>
        <w:t xml:space="preserve"> second</w:t>
      </w:r>
      <w:r w:rsidR="00FC7C8D">
        <w:rPr>
          <w:rFonts w:eastAsia="Calibri"/>
        </w:rPr>
        <w:t>-</w:t>
      </w:r>
      <w:r>
        <w:rPr>
          <w:rFonts w:eastAsia="Calibri"/>
        </w:rPr>
        <w:t xml:space="preserve">generation </w:t>
      </w:r>
      <w:r w:rsidR="00FC7C8D">
        <w:rPr>
          <w:rFonts w:eastAsia="Calibri"/>
        </w:rPr>
        <w:t xml:space="preserve">vaccines, </w:t>
      </w:r>
      <w:r>
        <w:rPr>
          <w:rFonts w:eastAsia="Calibri"/>
        </w:rPr>
        <w:t>PCV 10 and PCV 13</w:t>
      </w:r>
      <w:r w:rsidR="00FC7C8D">
        <w:rPr>
          <w:rFonts w:eastAsia="Calibri"/>
        </w:rPr>
        <w:t>,</w:t>
      </w:r>
      <w:r>
        <w:rPr>
          <w:rFonts w:eastAsia="Calibri"/>
        </w:rPr>
        <w:t xml:space="preserve"> covered by the AMC. Since the AMC involved about equal distribution of PCV 10 and PCV 1</w:t>
      </w:r>
      <w:r w:rsidR="00452443">
        <w:rPr>
          <w:rFonts w:eastAsia="Calibri"/>
        </w:rPr>
        <w:t>3</w:t>
      </w:r>
      <w:r>
        <w:rPr>
          <w:rFonts w:eastAsia="Calibri"/>
        </w:rPr>
        <w:t xml:space="preserve">, we take the average of the figures in the last column, yielding the calibration value </w:t>
      </w:r>
      <m:oMath>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a</m:t>
            </m:r>
          </m:sub>
        </m:sSub>
        <m:r>
          <w:rPr>
            <w:rFonts w:ascii="Cambria Math" w:eastAsia="Calibri" w:hAnsi="Cambria Math"/>
          </w:rPr>
          <m:t>=0.063</m:t>
        </m:r>
      </m:oMath>
      <w:r>
        <w:rPr>
          <w:rFonts w:eastAsia="Calibri"/>
        </w:rPr>
        <w:t xml:space="preserve">. </w:t>
      </w:r>
    </w:p>
    <w:p w14:paraId="74F73D24" w14:textId="30039B8C" w:rsidR="00AB1BE7" w:rsidRDefault="00AB1BE7" w:rsidP="00391E57">
      <w:pPr>
        <w:rPr>
          <w:rFonts w:eastAsia="Calibri"/>
        </w:rPr>
      </w:pPr>
    </w:p>
    <w:p w14:paraId="157320A1" w14:textId="7CB78100" w:rsidR="00E93B1C" w:rsidRDefault="00E93B1C" w:rsidP="00391E57">
      <w:pPr>
        <w:rPr>
          <w:rFonts w:eastAsia="Calibri"/>
        </w:rPr>
      </w:pPr>
    </w:p>
    <w:p w14:paraId="35CC7C96" w14:textId="77777777" w:rsidR="00E93B1C" w:rsidRDefault="00E93B1C" w:rsidP="00391E57">
      <w:pPr>
        <w:rPr>
          <w:rFonts w:eastAsia="Calibri"/>
        </w:rPr>
      </w:pPr>
    </w:p>
    <w:tbl>
      <w:tblPr>
        <w:tblStyle w:val="TableGrid"/>
        <w:tblW w:w="9360" w:type="dxa"/>
        <w:tblLook w:val="04A0" w:firstRow="1" w:lastRow="0" w:firstColumn="1" w:lastColumn="0" w:noHBand="0" w:noVBand="1"/>
      </w:tblPr>
      <w:tblGrid>
        <w:gridCol w:w="2370"/>
        <w:gridCol w:w="2322"/>
        <w:gridCol w:w="2320"/>
        <w:gridCol w:w="2348"/>
      </w:tblGrid>
      <w:tr w:rsidR="00F844D5" w14:paraId="1F9F700A" w14:textId="77777777" w:rsidTr="0099628A">
        <w:tc>
          <w:tcPr>
            <w:tcW w:w="9360" w:type="dxa"/>
            <w:gridSpan w:val="4"/>
            <w:tcBorders>
              <w:top w:val="nil"/>
              <w:left w:val="nil"/>
              <w:bottom w:val="double" w:sz="4" w:space="0" w:color="auto"/>
              <w:right w:val="nil"/>
            </w:tcBorders>
          </w:tcPr>
          <w:p w14:paraId="6E49C88B" w14:textId="3B38DDF5" w:rsidR="00F844D5" w:rsidRDefault="00F844D5" w:rsidP="00E16326">
            <w:pPr>
              <w:pStyle w:val="TableHeading"/>
              <w:pBdr>
                <w:bottom w:val="none" w:sz="0" w:space="0" w:color="auto"/>
              </w:pBdr>
              <w:ind w:right="0"/>
            </w:pPr>
            <w:r>
              <w:lastRenderedPageBreak/>
              <w:t>Table 1</w:t>
            </w:r>
            <w:r w:rsidRPr="0052428D">
              <w:t>—</w:t>
            </w:r>
            <w:r>
              <w:t xml:space="preserve"> </w:t>
            </w:r>
            <w:r w:rsidR="00452443">
              <w:t xml:space="preserve">Calibration </w:t>
            </w:r>
            <w:r>
              <w:t>of AMC Health Benefit from Tasslimi, et al. (2011)</w:t>
            </w:r>
          </w:p>
        </w:tc>
      </w:tr>
      <w:tr w:rsidR="0099628A" w14:paraId="7B31943D" w14:textId="77777777" w:rsidTr="0099628A">
        <w:trPr>
          <w:trHeight w:val="483"/>
        </w:trPr>
        <w:tc>
          <w:tcPr>
            <w:tcW w:w="2370" w:type="dxa"/>
            <w:tcBorders>
              <w:top w:val="double" w:sz="4" w:space="0" w:color="auto"/>
              <w:left w:val="nil"/>
              <w:bottom w:val="single" w:sz="4" w:space="0" w:color="auto"/>
              <w:right w:val="nil"/>
            </w:tcBorders>
            <w:vAlign w:val="center"/>
          </w:tcPr>
          <w:p w14:paraId="1F058C15" w14:textId="3A3BD7E4" w:rsidR="0099628A" w:rsidRPr="00F844D5" w:rsidRDefault="0099628A" w:rsidP="00035007">
            <w:pPr>
              <w:pStyle w:val="TableHeading"/>
              <w:pBdr>
                <w:bottom w:val="none" w:sz="0" w:space="0" w:color="auto"/>
              </w:pBdr>
              <w:ind w:right="0"/>
              <w:jc w:val="left"/>
              <w:rPr>
                <w:iCs/>
                <w:smallCaps w:val="0"/>
                <w:spacing w:val="0"/>
                <w:w w:val="100"/>
              </w:rPr>
            </w:pPr>
            <w:r w:rsidRPr="00F844D5">
              <w:rPr>
                <w:rFonts w:eastAsia="Cambria"/>
                <w:iCs/>
                <w:smallCaps w:val="0"/>
                <w:spacing w:val="0"/>
                <w:w w:val="100"/>
              </w:rPr>
              <w:t>Vaccine</w:t>
            </w:r>
          </w:p>
        </w:tc>
        <w:tc>
          <w:tcPr>
            <w:tcW w:w="2322" w:type="dxa"/>
            <w:tcBorders>
              <w:top w:val="double" w:sz="4" w:space="0" w:color="auto"/>
              <w:left w:val="nil"/>
              <w:bottom w:val="single" w:sz="4" w:space="0" w:color="auto"/>
              <w:right w:val="nil"/>
            </w:tcBorders>
            <w:vAlign w:val="center"/>
          </w:tcPr>
          <w:p w14:paraId="32DBBDA6" w14:textId="03443C8B" w:rsidR="0099628A" w:rsidRDefault="0099628A" w:rsidP="00035007">
            <w:pPr>
              <w:pStyle w:val="TableHeading"/>
              <w:pBdr>
                <w:bottom w:val="none" w:sz="0" w:space="0" w:color="auto"/>
              </w:pBdr>
              <w:ind w:right="0"/>
              <w:rPr>
                <w:iCs/>
                <w:smallCaps w:val="0"/>
                <w:spacing w:val="0"/>
                <w:w w:val="100"/>
              </w:rPr>
            </w:pPr>
            <w:r>
              <w:rPr>
                <w:iCs/>
                <w:smallCaps w:val="0"/>
                <w:spacing w:val="0"/>
                <w:w w:val="100"/>
              </w:rPr>
              <w:t>DALY</w:t>
            </w:r>
            <w:r w:rsidR="00E16326">
              <w:rPr>
                <w:iCs/>
                <w:smallCaps w:val="0"/>
                <w:spacing w:val="0"/>
                <w:w w:val="100"/>
              </w:rPr>
              <w:t>s</w:t>
            </w:r>
            <w:r>
              <w:rPr>
                <w:iCs/>
                <w:smallCaps w:val="0"/>
                <w:spacing w:val="0"/>
                <w:w w:val="100"/>
              </w:rPr>
              <w:t xml:space="preserve"> (thousands)</w:t>
            </w:r>
          </w:p>
        </w:tc>
        <w:tc>
          <w:tcPr>
            <w:tcW w:w="2320" w:type="dxa"/>
            <w:tcBorders>
              <w:top w:val="double" w:sz="4" w:space="0" w:color="auto"/>
              <w:left w:val="nil"/>
              <w:bottom w:val="single" w:sz="4" w:space="0" w:color="auto"/>
              <w:right w:val="nil"/>
            </w:tcBorders>
            <w:vAlign w:val="center"/>
          </w:tcPr>
          <w:p w14:paraId="33074FBD" w14:textId="44DA6825" w:rsidR="0099628A" w:rsidRDefault="0099628A" w:rsidP="00035007">
            <w:pPr>
              <w:pStyle w:val="TableHeading"/>
              <w:pBdr>
                <w:bottom w:val="none" w:sz="0" w:space="0" w:color="auto"/>
              </w:pBdr>
              <w:ind w:right="0"/>
              <w:rPr>
                <w:iCs/>
                <w:smallCaps w:val="0"/>
                <w:spacing w:val="0"/>
                <w:w w:val="100"/>
              </w:rPr>
            </w:pPr>
            <w:r>
              <w:rPr>
                <w:iCs/>
                <w:smallCaps w:val="0"/>
                <w:spacing w:val="0"/>
                <w:w w:val="100"/>
              </w:rPr>
              <w:t>Doses (billions)</w:t>
            </w:r>
          </w:p>
        </w:tc>
        <w:tc>
          <w:tcPr>
            <w:tcW w:w="2348" w:type="dxa"/>
            <w:tcBorders>
              <w:top w:val="double" w:sz="4" w:space="0" w:color="auto"/>
              <w:left w:val="nil"/>
              <w:bottom w:val="single" w:sz="4" w:space="0" w:color="auto"/>
              <w:right w:val="nil"/>
            </w:tcBorders>
            <w:vAlign w:val="center"/>
          </w:tcPr>
          <w:p w14:paraId="3A8AD59C" w14:textId="27ECCABE" w:rsidR="0099628A" w:rsidRDefault="0099628A" w:rsidP="00035007">
            <w:pPr>
              <w:pStyle w:val="TableHeading"/>
              <w:pBdr>
                <w:bottom w:val="none" w:sz="0" w:space="0" w:color="auto"/>
              </w:pBdr>
              <w:ind w:right="0"/>
              <w:rPr>
                <w:iCs/>
                <w:smallCaps w:val="0"/>
                <w:spacing w:val="0"/>
                <w:w w:val="100"/>
              </w:rPr>
            </w:pPr>
            <w:r>
              <w:rPr>
                <w:iCs/>
                <w:smallCaps w:val="0"/>
                <w:spacing w:val="0"/>
                <w:w w:val="100"/>
              </w:rPr>
              <w:t>DALY</w:t>
            </w:r>
            <w:r w:rsidR="00E16326">
              <w:rPr>
                <w:iCs/>
                <w:smallCaps w:val="0"/>
                <w:spacing w:val="0"/>
                <w:w w:val="100"/>
              </w:rPr>
              <w:t>s</w:t>
            </w:r>
            <w:r>
              <w:rPr>
                <w:iCs/>
                <w:smallCaps w:val="0"/>
                <w:spacing w:val="0"/>
                <w:w w:val="100"/>
              </w:rPr>
              <w:t>/dose</w:t>
            </w:r>
          </w:p>
        </w:tc>
      </w:tr>
      <w:tr w:rsidR="0099628A" w14:paraId="297F3E5C" w14:textId="77777777" w:rsidTr="00FC7C8D">
        <w:trPr>
          <w:trHeight w:val="224"/>
        </w:trPr>
        <w:tc>
          <w:tcPr>
            <w:tcW w:w="2370" w:type="dxa"/>
            <w:tcBorders>
              <w:top w:val="nil"/>
              <w:left w:val="nil"/>
              <w:bottom w:val="nil"/>
              <w:right w:val="nil"/>
            </w:tcBorders>
            <w:vAlign w:val="bottom"/>
          </w:tcPr>
          <w:p w14:paraId="4299F218" w14:textId="62F45BE0" w:rsidR="0099628A" w:rsidRPr="00F844D5" w:rsidRDefault="0099628A" w:rsidP="00FC7C8D">
            <w:pPr>
              <w:pStyle w:val="TableHeading"/>
              <w:pBdr>
                <w:bottom w:val="none" w:sz="0" w:space="0" w:color="auto"/>
              </w:pBdr>
              <w:ind w:right="0"/>
              <w:jc w:val="left"/>
              <w:rPr>
                <w:rFonts w:eastAsia="Cambria"/>
                <w:iCs/>
                <w:smallCaps w:val="0"/>
                <w:spacing w:val="0"/>
                <w:w w:val="100"/>
              </w:rPr>
            </w:pPr>
            <w:r>
              <w:rPr>
                <w:rFonts w:eastAsia="Cambria"/>
                <w:iCs/>
                <w:smallCaps w:val="0"/>
                <w:spacing w:val="0"/>
                <w:w w:val="100"/>
              </w:rPr>
              <w:t>PCV 10</w:t>
            </w:r>
          </w:p>
        </w:tc>
        <w:tc>
          <w:tcPr>
            <w:tcW w:w="2322" w:type="dxa"/>
            <w:tcBorders>
              <w:top w:val="nil"/>
              <w:left w:val="nil"/>
              <w:bottom w:val="nil"/>
              <w:right w:val="nil"/>
            </w:tcBorders>
            <w:vAlign w:val="bottom"/>
          </w:tcPr>
          <w:p w14:paraId="26E960FB" w14:textId="5E2BD2A6" w:rsidR="0099628A" w:rsidRPr="00F844D5" w:rsidRDefault="0099628A" w:rsidP="00FC7C8D">
            <w:pPr>
              <w:pStyle w:val="TableHeading"/>
              <w:pBdr>
                <w:bottom w:val="none" w:sz="0" w:space="0" w:color="auto"/>
              </w:pBdr>
              <w:ind w:right="0"/>
              <w:rPr>
                <w:rFonts w:eastAsia="Cambria"/>
                <w:iCs/>
                <w:smallCaps w:val="0"/>
                <w:spacing w:val="0"/>
                <w:w w:val="100"/>
              </w:rPr>
            </w:pPr>
            <w:r>
              <w:rPr>
                <w:iCs/>
                <w:smallCaps w:val="0"/>
                <w:spacing w:val="0"/>
                <w:w w:val="100"/>
              </w:rPr>
              <w:t>106,878</w:t>
            </w:r>
          </w:p>
        </w:tc>
        <w:tc>
          <w:tcPr>
            <w:tcW w:w="2320" w:type="dxa"/>
            <w:tcBorders>
              <w:top w:val="nil"/>
              <w:left w:val="nil"/>
              <w:bottom w:val="nil"/>
              <w:right w:val="nil"/>
            </w:tcBorders>
            <w:vAlign w:val="bottom"/>
          </w:tcPr>
          <w:p w14:paraId="623A43FD" w14:textId="0CDCEE33" w:rsidR="0099628A" w:rsidRPr="00F844D5" w:rsidRDefault="0099628A" w:rsidP="00FC7C8D">
            <w:pPr>
              <w:pStyle w:val="TableHeading"/>
              <w:pBdr>
                <w:bottom w:val="none" w:sz="0" w:space="0" w:color="auto"/>
              </w:pBdr>
              <w:ind w:right="0"/>
              <w:rPr>
                <w:rFonts w:eastAsia="Cambria"/>
                <w:iCs/>
                <w:smallCaps w:val="0"/>
                <w:spacing w:val="0"/>
                <w:w w:val="100"/>
              </w:rPr>
            </w:pPr>
            <w:r>
              <w:rPr>
                <w:iCs/>
                <w:smallCaps w:val="0"/>
                <w:spacing w:val="0"/>
                <w:w w:val="100"/>
              </w:rPr>
              <w:t>1.8</w:t>
            </w:r>
          </w:p>
        </w:tc>
        <w:tc>
          <w:tcPr>
            <w:tcW w:w="2348" w:type="dxa"/>
            <w:tcBorders>
              <w:top w:val="nil"/>
              <w:left w:val="nil"/>
              <w:bottom w:val="nil"/>
              <w:right w:val="nil"/>
            </w:tcBorders>
            <w:vAlign w:val="bottom"/>
          </w:tcPr>
          <w:p w14:paraId="704F33B3" w14:textId="3D96CF12" w:rsidR="0099628A" w:rsidRPr="00F844D5" w:rsidRDefault="0099628A" w:rsidP="00FC7C8D">
            <w:pPr>
              <w:pStyle w:val="TableHeading"/>
              <w:pBdr>
                <w:bottom w:val="none" w:sz="0" w:space="0" w:color="auto"/>
              </w:pBdr>
              <w:ind w:right="0"/>
              <w:rPr>
                <w:rFonts w:eastAsia="Cambria"/>
                <w:iCs/>
                <w:smallCaps w:val="0"/>
                <w:spacing w:val="0"/>
                <w:w w:val="100"/>
              </w:rPr>
            </w:pPr>
            <w:r>
              <w:rPr>
                <w:iCs/>
                <w:smallCaps w:val="0"/>
                <w:spacing w:val="0"/>
                <w:w w:val="100"/>
              </w:rPr>
              <w:t>0.059</w:t>
            </w:r>
          </w:p>
        </w:tc>
      </w:tr>
      <w:tr w:rsidR="0099628A" w14:paraId="1BEF92C7" w14:textId="77777777" w:rsidTr="00FC7C8D">
        <w:trPr>
          <w:trHeight w:val="245"/>
        </w:trPr>
        <w:tc>
          <w:tcPr>
            <w:tcW w:w="2370" w:type="dxa"/>
            <w:tcBorders>
              <w:top w:val="nil"/>
              <w:left w:val="nil"/>
              <w:bottom w:val="single" w:sz="4" w:space="0" w:color="auto"/>
              <w:right w:val="nil"/>
            </w:tcBorders>
          </w:tcPr>
          <w:p w14:paraId="4D0E0F3E" w14:textId="60E487FF" w:rsidR="0099628A" w:rsidRPr="00F844D5" w:rsidRDefault="0099628A" w:rsidP="00FC7C8D">
            <w:pPr>
              <w:pStyle w:val="TableHeading"/>
              <w:pBdr>
                <w:bottom w:val="none" w:sz="0" w:space="0" w:color="auto"/>
              </w:pBdr>
              <w:ind w:right="0"/>
              <w:jc w:val="left"/>
              <w:rPr>
                <w:iCs/>
                <w:smallCaps w:val="0"/>
                <w:spacing w:val="0"/>
                <w:w w:val="100"/>
              </w:rPr>
            </w:pPr>
            <w:r>
              <w:rPr>
                <w:rFonts w:eastAsia="Cambria"/>
                <w:iCs/>
                <w:smallCaps w:val="0"/>
                <w:spacing w:val="0"/>
                <w:w w:val="100"/>
              </w:rPr>
              <w:t>PCV 13</w:t>
            </w:r>
          </w:p>
        </w:tc>
        <w:tc>
          <w:tcPr>
            <w:tcW w:w="2322" w:type="dxa"/>
            <w:tcBorders>
              <w:top w:val="nil"/>
              <w:left w:val="nil"/>
              <w:bottom w:val="single" w:sz="4" w:space="0" w:color="auto"/>
              <w:right w:val="nil"/>
            </w:tcBorders>
          </w:tcPr>
          <w:p w14:paraId="2F6BA11B" w14:textId="174150AF" w:rsidR="0099628A" w:rsidRPr="00F844D5" w:rsidRDefault="0099628A" w:rsidP="00035007">
            <w:pPr>
              <w:pStyle w:val="TableHeading"/>
              <w:pBdr>
                <w:bottom w:val="none" w:sz="0" w:space="0" w:color="auto"/>
              </w:pBdr>
              <w:ind w:right="0"/>
              <w:rPr>
                <w:iCs/>
                <w:smallCaps w:val="0"/>
                <w:spacing w:val="0"/>
                <w:w w:val="100"/>
              </w:rPr>
            </w:pPr>
            <w:r>
              <w:rPr>
                <w:rFonts w:eastAsia="Cambria"/>
                <w:iCs/>
                <w:smallCaps w:val="0"/>
                <w:spacing w:val="0"/>
                <w:w w:val="100"/>
              </w:rPr>
              <w:t>119,636</w:t>
            </w:r>
          </w:p>
        </w:tc>
        <w:tc>
          <w:tcPr>
            <w:tcW w:w="2320" w:type="dxa"/>
            <w:tcBorders>
              <w:top w:val="nil"/>
              <w:left w:val="nil"/>
              <w:bottom w:val="single" w:sz="4" w:space="0" w:color="auto"/>
              <w:right w:val="nil"/>
            </w:tcBorders>
          </w:tcPr>
          <w:p w14:paraId="4F104BA5" w14:textId="6887FB1A" w:rsidR="0099628A" w:rsidRPr="00F844D5" w:rsidRDefault="0099628A" w:rsidP="00035007">
            <w:pPr>
              <w:pStyle w:val="TableHeading"/>
              <w:pBdr>
                <w:bottom w:val="none" w:sz="0" w:space="0" w:color="auto"/>
              </w:pBdr>
              <w:ind w:right="0"/>
              <w:rPr>
                <w:iCs/>
                <w:smallCaps w:val="0"/>
                <w:spacing w:val="0"/>
                <w:w w:val="100"/>
              </w:rPr>
            </w:pPr>
            <w:r>
              <w:rPr>
                <w:rFonts w:eastAsia="Cambria"/>
                <w:iCs/>
                <w:smallCaps w:val="0"/>
                <w:spacing w:val="0"/>
                <w:w w:val="100"/>
              </w:rPr>
              <w:t>1.8</w:t>
            </w:r>
          </w:p>
        </w:tc>
        <w:tc>
          <w:tcPr>
            <w:tcW w:w="2348" w:type="dxa"/>
            <w:tcBorders>
              <w:top w:val="nil"/>
              <w:left w:val="nil"/>
              <w:bottom w:val="single" w:sz="4" w:space="0" w:color="auto"/>
              <w:right w:val="nil"/>
            </w:tcBorders>
          </w:tcPr>
          <w:p w14:paraId="3F32D3AE" w14:textId="2AC21F5D" w:rsidR="0099628A" w:rsidRPr="00F844D5" w:rsidRDefault="0099628A" w:rsidP="00035007">
            <w:pPr>
              <w:pStyle w:val="TableHeading"/>
              <w:pBdr>
                <w:bottom w:val="none" w:sz="0" w:space="0" w:color="auto"/>
              </w:pBdr>
              <w:ind w:right="0"/>
              <w:rPr>
                <w:iCs/>
                <w:smallCaps w:val="0"/>
                <w:spacing w:val="0"/>
                <w:w w:val="100"/>
              </w:rPr>
            </w:pPr>
            <w:r>
              <w:rPr>
                <w:rFonts w:eastAsia="Cambria"/>
                <w:iCs/>
                <w:smallCaps w:val="0"/>
                <w:spacing w:val="0"/>
                <w:w w:val="100"/>
              </w:rPr>
              <w:t>0.067</w:t>
            </w:r>
          </w:p>
        </w:tc>
      </w:tr>
    </w:tbl>
    <w:p w14:paraId="40926FD3" w14:textId="0036AB5A" w:rsidR="00DC6A07" w:rsidRPr="00E93B1C" w:rsidRDefault="00DC6A07" w:rsidP="00DC6A07">
      <w:pPr>
        <w:pStyle w:val="TableNotes"/>
        <w:jc w:val="left"/>
      </w:pPr>
      <w:r w:rsidRPr="00E93B1C">
        <w:rPr>
          <w:i/>
          <w:iCs/>
        </w:rPr>
        <w:t>Notes</w:t>
      </w:r>
      <w:r w:rsidRPr="00E93B1C">
        <w:t xml:space="preserve">: </w:t>
      </w:r>
      <w:r>
        <w:t xml:space="preserve">The </w:t>
      </w:r>
      <w:r w:rsidRPr="00E93B1C">
        <w:t>1.8 billion is not</w:t>
      </w:r>
      <w:r>
        <w:t xml:space="preserve"> the</w:t>
      </w:r>
      <w:r w:rsidRPr="00E93B1C">
        <w:t xml:space="preserve"> actual number </w:t>
      </w:r>
      <w:r>
        <w:t xml:space="preserve">of PCV </w:t>
      </w:r>
      <w:r w:rsidRPr="00E93B1C">
        <w:t>procured</w:t>
      </w:r>
      <w:r>
        <w:t xml:space="preserve"> under the AMC program but rather a counterfactual figure used by Tasslimi, et al. (2011) in their cost-effectiveness analysis. They calculate that this is the number of doses required for PCV to have the same rate of infant coverage </w:t>
      </w:r>
      <w:r w:rsidRPr="00E93B1C">
        <w:t>as DTP-</w:t>
      </w:r>
      <w:r>
        <w:t>3.</w:t>
      </w:r>
    </w:p>
    <w:p w14:paraId="1DEB7155" w14:textId="30E79D83" w:rsidR="00E93B1C" w:rsidRPr="00DC6A07" w:rsidRDefault="00AB1BE7" w:rsidP="00E93B1C">
      <w:pPr>
        <w:pStyle w:val="TableNotes"/>
      </w:pPr>
      <w:r w:rsidRPr="005647E7">
        <w:rPr>
          <w:i/>
          <w:iCs/>
        </w:rPr>
        <w:t>Source</w:t>
      </w:r>
      <w:r w:rsidR="00E93F8C">
        <w:rPr>
          <w:i/>
          <w:iCs/>
        </w:rPr>
        <w:t>s</w:t>
      </w:r>
      <w:r w:rsidRPr="005647E7">
        <w:rPr>
          <w:i/>
          <w:iCs/>
        </w:rPr>
        <w:t>:</w:t>
      </w:r>
      <w:r>
        <w:t xml:space="preserve"> </w:t>
      </w:r>
      <w:r w:rsidR="00E93F8C">
        <w:t xml:space="preserve">The first two columns of figures from Table 5 of </w:t>
      </w:r>
      <w:bookmarkStart w:id="10" w:name="OLE_LINK3"/>
      <w:r w:rsidR="00E93F8C">
        <w:t xml:space="preserve">Tasslimi, et al. (2011). </w:t>
      </w:r>
      <w:bookmarkEnd w:id="10"/>
      <w:r w:rsidR="00E93F8C">
        <w:t>The last column is the quotient of the previous two.</w:t>
      </w:r>
    </w:p>
    <w:p w14:paraId="054F9438" w14:textId="77777777" w:rsidR="00A2372C" w:rsidRDefault="00A2372C" w:rsidP="00391E57">
      <w:pPr>
        <w:rPr>
          <w:rFonts w:eastAsia="Calibri"/>
        </w:rPr>
      </w:pPr>
    </w:p>
    <w:p w14:paraId="692F3189" w14:textId="220CF01D" w:rsidR="00C9577B" w:rsidRPr="00D369C3" w:rsidRDefault="00C9577B" w:rsidP="00C9577B">
      <w:pPr>
        <w:pStyle w:val="Heading2"/>
      </w:pPr>
      <w:r>
        <w:t>3. Setting Manufacturer Price</w:t>
      </w:r>
    </w:p>
    <w:p w14:paraId="19C017F2" w14:textId="143C3460" w:rsidR="00303B67" w:rsidRDefault="00C9577B" w:rsidP="00AB782A">
      <w:r w:rsidRPr="00C9577B">
        <w:t xml:space="preserve">In this section, we analyze the conditions under which the designer would prefer </w:t>
      </w:r>
      <w:r w:rsidR="000F697A">
        <w:t xml:space="preserve">moving from the price </w:t>
      </w:r>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=$3.50</m:t>
        </m:r>
      </m:oMath>
      <w:r w:rsidR="000F697A">
        <w:t xml:space="preserve"> set in the pilot AMC to </w:t>
      </w:r>
      <w:r w:rsidRPr="00C9577B">
        <w:t xml:space="preserve">a lower per-dose price of </w:t>
      </w:r>
      <m:oMath>
        <m:sSub>
          <m:sSubPr>
            <m:ctrlPr>
              <w:rPr>
                <w:rFonts w:ascii="Cambria Math" w:hAnsi="Cambria Math"/>
              </w:rPr>
            </m:ctrlPr>
          </m:sSubPr>
          <m:e>
            <m:r>
              <w:rPr>
                <w:rFonts w:ascii="Cambria Math" w:hAnsi="Cambria Math"/>
              </w:rPr>
              <m:t>p</m:t>
            </m:r>
          </m:e>
          <m:sub>
            <m:r>
              <w:rPr>
                <w:rFonts w:ascii="Cambria Math" w:hAnsi="Cambria Math"/>
              </w:rPr>
              <m:t>1</m:t>
            </m:r>
          </m:sub>
        </m:sSub>
        <m:r>
          <m:rPr>
            <m:sty m:val="p"/>
          </m:rPr>
          <w:rPr>
            <w:rFonts w:ascii="Cambria Math" w:hAnsi="Cambria Math"/>
          </w:rPr>
          <m:t>=$2</m:t>
        </m:r>
      </m:oMath>
      <w:r w:rsidRPr="00C9577B">
        <w:t xml:space="preserve">.00. </w:t>
      </w:r>
      <w:proofErr w:type="gramStart"/>
      <w:r w:rsidRPr="00C9577B">
        <w:t>In particular, we</w:t>
      </w:r>
      <w:proofErr w:type="gramEnd"/>
      <w:r w:rsidRPr="00C9577B">
        <w:t xml:space="preserve"> solve for the threshold </w:t>
      </w:r>
      <w:r w:rsidR="000F697A">
        <w:t xml:space="preserve">participation probability </w:t>
      </w:r>
      <w:r w:rsidRPr="00C9577B">
        <w:t xml:space="preserve">above which the designer would prefer </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000F697A">
        <w:t xml:space="preserve"> </w:t>
      </w:r>
      <w:r w:rsidR="00AB782A">
        <w:t xml:space="preserve">to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C9577B">
        <w:t xml:space="preserve">, performing sensitivity analysis around various values of the health benefit </w:t>
      </w:r>
      <m:oMath>
        <m:sSub>
          <m:sSubPr>
            <m:ctrlPr>
              <w:rPr>
                <w:rFonts w:ascii="Cambria Math" w:hAnsi="Cambria Math"/>
              </w:rPr>
            </m:ctrlPr>
          </m:sSubPr>
          <m:e>
            <m:r>
              <w:rPr>
                <w:rFonts w:ascii="Cambria Math" w:hAnsi="Cambria Math"/>
              </w:rPr>
              <m:t>h</m:t>
            </m:r>
          </m:e>
          <m:sub>
            <m:r>
              <w:rPr>
                <w:rFonts w:ascii="Cambria Math" w:hAnsi="Cambria Math"/>
              </w:rPr>
              <m:t>o</m:t>
            </m:r>
          </m:sub>
        </m:sSub>
      </m:oMath>
      <w:r w:rsidRPr="00C9577B">
        <w:t xml:space="preserve"> of the alternative intervention</w:t>
      </w:r>
    </w:p>
    <w:p w14:paraId="1AA63D6A" w14:textId="200F34A7" w:rsidR="00391E57" w:rsidRDefault="00303B67" w:rsidP="00303B67">
      <w:r>
        <w:t>The designer prefer</w:t>
      </w:r>
      <w:r w:rsidR="00524FE6">
        <w:t>s</w:t>
      </w:r>
      <w:r>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r>
          <m:rPr>
            <m:sty m:val="p"/>
          </m:rPr>
          <w:rPr>
            <w:rFonts w:ascii="Cambria Math" w:hAnsi="Cambria Math"/>
          </w:rPr>
          <m:t>=$2</m:t>
        </m:r>
      </m:oMath>
      <w:r w:rsidRPr="00C9577B">
        <w:t>.00</w:t>
      </w:r>
      <w:r>
        <w:t xml:space="preserve"> to </w:t>
      </w:r>
      <m:oMath>
        <m:sSub>
          <m:sSubPr>
            <m:ctrlPr>
              <w:rPr>
                <w:rFonts w:ascii="Cambria Math" w:hAnsi="Cambria Math"/>
                <w:i/>
              </w:rPr>
            </m:ctrlPr>
          </m:sSubPr>
          <m:e>
            <m:r>
              <w:rPr>
                <w:rFonts w:ascii="Cambria Math" w:hAnsi="Cambria Math"/>
              </w:rPr>
              <m:t>p</m:t>
            </m:r>
          </m:e>
          <m:sub>
            <m:r>
              <w:rPr>
                <w:rFonts w:ascii="Cambria Math" w:hAnsi="Cambria Math"/>
              </w:rPr>
              <m:t>0</m:t>
            </m:r>
          </m:sub>
        </m:sSub>
        <m:r>
          <m:rPr>
            <m:sty m:val="p"/>
          </m:rPr>
          <w:rPr>
            <w:rFonts w:ascii="Cambria Math" w:hAnsi="Cambria Math"/>
          </w:rPr>
          <m:t>=$3.50</m:t>
        </m:r>
      </m:oMath>
      <w:r>
        <w:t xml:space="preserve"> if </w:t>
      </w:r>
      <w:bookmarkStart w:id="11" w:name="OLE_LINK14"/>
      <m:oMath>
        <m:sSub>
          <m:sSubPr>
            <m:ctrlPr>
              <w:rPr>
                <w:rFonts w:ascii="Cambria Math" w:eastAsia="Calibri" w:hAnsi="Cambria Math"/>
                <w:i/>
              </w:rPr>
            </m:ctrlPr>
          </m:sSubPr>
          <m:e>
            <m:r>
              <w:rPr>
                <w:rFonts w:ascii="Cambria Math" w:eastAsia="Calibri" w:hAnsi="Cambria Math"/>
              </w:rPr>
              <m:t>W</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W</m:t>
            </m:r>
          </m:e>
          <m:sub>
            <m:r>
              <w:rPr>
                <w:rFonts w:ascii="Cambria Math" w:eastAsia="Calibri" w:hAnsi="Cambria Math"/>
              </w:rPr>
              <m:t>0</m:t>
            </m:r>
          </m:sub>
        </m:sSub>
      </m:oMath>
      <w:r w:rsidR="00524FE6">
        <w:t xml:space="preserve">, where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00524FE6">
        <w:t xml:space="preserve"> </w:t>
      </w:r>
      <w:r w:rsidR="00A61FC6">
        <w:t xml:space="preserve">here </w:t>
      </w:r>
      <w:r w:rsidR="00524FE6">
        <w:t xml:space="preserve">denotes the welfare expression (3) evaluated at </w:t>
      </w:r>
      <w:r w:rsidR="00A61FC6">
        <w:t xml:space="preserve">price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t>. Substituting</w:t>
      </w:r>
      <w:r w:rsidR="003C054D">
        <w:t xml:space="preserve"> </w:t>
      </w:r>
      <w:r w:rsidR="0063583C">
        <w:t xml:space="preserve">from </w:t>
      </w:r>
      <w:r>
        <w:t>equation (3)</w:t>
      </w:r>
      <w:r w:rsidR="0063583C">
        <w:t xml:space="preserve"> into </w:t>
      </w:r>
      <w:r w:rsidR="001414A8">
        <w:t xml:space="preserve">both sides of </w:t>
      </w:r>
      <w:r w:rsidR="003C054D">
        <w:t xml:space="preserve">the preceding inequality, </w:t>
      </w:r>
      <w:r w:rsidR="0063583C">
        <w:t xml:space="preserve">substituting the </w:t>
      </w:r>
      <w:r w:rsidR="008E17D3">
        <w:t xml:space="preserve">indicated </w:t>
      </w:r>
      <w:r w:rsidR="0063583C">
        <w:t xml:space="preserve">prices, </w:t>
      </w:r>
      <w:r w:rsidR="003C054D">
        <w:t>and rearranging yields</w:t>
      </w:r>
    </w:p>
    <w:p w14:paraId="1FAF7378" w14:textId="77777777" w:rsidR="008E17D3" w:rsidRDefault="008E17D3" w:rsidP="00303B67"/>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2"/>
        <w:gridCol w:w="698"/>
      </w:tblGrid>
      <w:tr w:rsidR="008E17D3" w14:paraId="54C231EC" w14:textId="77777777" w:rsidTr="007371DE">
        <w:tc>
          <w:tcPr>
            <w:tcW w:w="8662" w:type="dxa"/>
            <w:vAlign w:val="center"/>
          </w:tcPr>
          <w:p w14:paraId="4AF822B5" w14:textId="3F1911ED" w:rsidR="008E17D3" w:rsidRPr="00C85372" w:rsidRDefault="001D561A" w:rsidP="007371DE">
            <w:pPr>
              <w:jc w:val="center"/>
              <w:rPr>
                <w:rFonts w:eastAsia="Calibri" w:cs="Times New Roman"/>
                <w:iCs/>
              </w:rPr>
            </w:pPr>
            <m:oMathPara>
              <m:oMath>
                <m:f>
                  <m:fPr>
                    <m:ctrlPr>
                      <w:rPr>
                        <w:rFonts w:ascii="Cambria Math" w:eastAsia="Calibri" w:hAnsi="Cambria Math"/>
                        <w:i/>
                      </w:rPr>
                    </m:ctrlPr>
                  </m:fPr>
                  <m:num>
                    <m:sSub>
                      <m:sSubPr>
                        <m:ctrlPr>
                          <w:rPr>
                            <w:rFonts w:ascii="Cambria Math" w:eastAsia="Calibri" w:hAnsi="Cambria Math"/>
                            <w:i/>
                          </w:rPr>
                        </m:ctrlPr>
                      </m:sSubPr>
                      <m:e>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0</m:t>
                            </m:r>
                          </m:sub>
                        </m:sSub>
                        <m:r>
                          <w:rPr>
                            <w:rFonts w:ascii="Cambria Math" w:eastAsia="Calibri" w:hAnsi="Cambria Math"/>
                          </w:rPr>
                          <m:t>-x</m:t>
                        </m:r>
                      </m:e>
                      <m:sub>
                        <m:r>
                          <w:rPr>
                            <w:rFonts w:ascii="Cambria Math" w:eastAsia="Calibri" w:hAnsi="Cambria Math"/>
                          </w:rPr>
                          <m:t>1</m:t>
                        </m:r>
                      </m:sub>
                    </m:sSub>
                  </m:num>
                  <m:den>
                    <m:sSub>
                      <m:sSubPr>
                        <m:ctrlPr>
                          <w:rPr>
                            <w:rFonts w:ascii="Cambria Math" w:eastAsia="Calibri" w:hAnsi="Cambria Math"/>
                            <w:i/>
                          </w:rPr>
                        </m:ctrlPr>
                      </m:sSubPr>
                      <m:e>
                        <m:r>
                          <w:rPr>
                            <w:rFonts w:ascii="Cambria Math" w:eastAsia="Calibri" w:hAnsi="Cambria Math"/>
                          </w:rPr>
                          <m:t>x</m:t>
                        </m:r>
                      </m:e>
                      <m:sub>
                        <m:r>
                          <w:rPr>
                            <w:rFonts w:ascii="Cambria Math" w:eastAsia="Calibri" w:hAnsi="Cambria Math"/>
                          </w:rPr>
                          <m:t>0</m:t>
                        </m:r>
                      </m:sub>
                    </m:sSub>
                  </m:den>
                </m:f>
                <m:r>
                  <w:rPr>
                    <w:rFonts w:ascii="Cambria Math" w:eastAsia="Calibri" w:hAnsi="Cambria Math"/>
                  </w:rPr>
                  <m:t>≤</m:t>
                </m:r>
                <m:f>
                  <m:fPr>
                    <m:ctrlPr>
                      <w:rPr>
                        <w:rFonts w:ascii="Cambria Math" w:eastAsia="Calibri" w:hAnsi="Cambria Math"/>
                        <w:i/>
                      </w:rPr>
                    </m:ctrlPr>
                  </m:fPr>
                  <m:num>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0</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o</m:t>
                        </m:r>
                      </m:sub>
                    </m:sSub>
                  </m:num>
                  <m:den>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a</m:t>
                        </m:r>
                      </m:sub>
                    </m:sSub>
                    <m:r>
                      <w:rPr>
                        <w:rFonts w:ascii="Cambria Math" w:eastAsia="Calibri" w:hAnsi="Cambria Math"/>
                      </w:rPr>
                      <m:t>-</m:t>
                    </m:r>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1</m:t>
                            </m:r>
                          </m:sub>
                        </m:sSub>
                        <m:r>
                          <w:rPr>
                            <w:rFonts w:ascii="Cambria Math" w:eastAsia="Calibri" w:hAnsi="Cambria Math"/>
                          </w:rPr>
                          <m:t>+s+a-k</m:t>
                        </m:r>
                      </m:e>
                    </m:d>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o</m:t>
                        </m:r>
                      </m:sub>
                    </m:sSub>
                  </m:den>
                </m:f>
                <m:r>
                  <w:rPr>
                    <w:rFonts w:ascii="Cambria Math" w:eastAsia="Calibri" w:hAnsi="Cambria Math"/>
                  </w:rPr>
                  <m:t>,</m:t>
                </m:r>
              </m:oMath>
            </m:oMathPara>
          </w:p>
        </w:tc>
        <w:tc>
          <w:tcPr>
            <w:tcW w:w="698" w:type="dxa"/>
          </w:tcPr>
          <w:p w14:paraId="2C585BB0" w14:textId="77777777" w:rsidR="008E17D3" w:rsidRDefault="008E17D3" w:rsidP="007371DE">
            <w:pPr>
              <w:spacing w:before="120" w:after="120" w:line="360" w:lineRule="auto"/>
              <w:rPr>
                <w:rFonts w:cs="Times New Roman"/>
              </w:rPr>
            </w:pPr>
            <w:r>
              <w:rPr>
                <w:rFonts w:cs="Times New Roman"/>
              </w:rPr>
              <w:t>(4)</w:t>
            </w:r>
          </w:p>
        </w:tc>
      </w:tr>
      <w:bookmarkEnd w:id="11"/>
    </w:tbl>
    <w:p w14:paraId="0188C5E6" w14:textId="77777777" w:rsidR="00035007" w:rsidRDefault="00035007" w:rsidP="002422FF">
      <w:pPr>
        <w:ind w:firstLine="0"/>
      </w:pPr>
    </w:p>
    <w:p w14:paraId="7414FFD2" w14:textId="5F2E2D46" w:rsidR="005D2CE5" w:rsidRDefault="00A61FC6" w:rsidP="002422FF">
      <w:pPr>
        <w:ind w:firstLine="0"/>
        <w:rPr>
          <w:rFonts w:eastAsia="Calibri"/>
        </w:rPr>
      </w:pPr>
      <w:r>
        <w:t xml:space="preserve">where </w:t>
      </w:r>
      <m:oMath>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≡x(</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m:t>
        </m:r>
      </m:oMath>
      <w:r>
        <w:t xml:space="preserve">. </w:t>
      </w:r>
      <w:r w:rsidR="0063583C" w:rsidRPr="002422FF">
        <w:t xml:space="preserve">The </w:t>
      </w:r>
      <w:r w:rsidR="004657F5">
        <w:t xml:space="preserve">left-hand side equals the proportional reduction in certainty that firms participate in the AMC at the lower price. The </w:t>
      </w:r>
      <w:r w:rsidR="0063583C" w:rsidRPr="002422FF">
        <w:t xml:space="preserve">numerator </w:t>
      </w:r>
      <w:r w:rsidR="004657F5">
        <w:t xml:space="preserve">on the right-hand side </w:t>
      </w:r>
      <w:r w:rsidR="0063583C" w:rsidRPr="002422FF">
        <w:t xml:space="preserve">equals </w:t>
      </w:r>
      <w:r w:rsidR="00391E57" w:rsidRPr="002422FF">
        <w:t xml:space="preserve">the health benefit </w:t>
      </w:r>
      <w:r w:rsidR="004657F5">
        <w:t xml:space="preserve">generated by investing the savings on a PCV dose in the alternative intervention. The denominator </w:t>
      </w:r>
      <w:r w:rsidR="005D2CE5">
        <w:t xml:space="preserve">equals the health benefit from a PCV dose over the alternative use of this money spent on this dose at the low price, </w:t>
      </w: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1</m:t>
            </m:r>
          </m:sub>
        </m:sSub>
        <m:r>
          <w:rPr>
            <w:rFonts w:ascii="Cambria Math" w:eastAsia="Calibri" w:hAnsi="Cambria Math"/>
          </w:rPr>
          <m:t>=$2.00</m:t>
        </m:r>
      </m:oMath>
      <w:r w:rsidR="00391E57">
        <w:rPr>
          <w:rFonts w:eastAsia="Calibri"/>
        </w:rPr>
        <w:t xml:space="preserve">. </w:t>
      </w:r>
    </w:p>
    <w:p w14:paraId="50B9646F" w14:textId="2CAB0640" w:rsidR="005D2CE5" w:rsidRDefault="0096784D" w:rsidP="005D2CE5">
      <w:r>
        <w:t xml:space="preserve">The assumption that participation is certain under the original AMC price, i.e., </w:t>
      </w:r>
      <m:oMath>
        <m:sSub>
          <m:sSubPr>
            <m:ctrlPr>
              <w:rPr>
                <w:rFonts w:ascii="Cambria Math" w:eastAsia="Calibri" w:hAnsi="Cambria Math" w:cs="Arial"/>
                <w:i/>
              </w:rPr>
            </m:ctrlPr>
          </m:sSubPr>
          <m:e>
            <m:r>
              <w:rPr>
                <w:rFonts w:ascii="Cambria Math" w:eastAsia="Calibri" w:hAnsi="Cambria Math"/>
              </w:rPr>
              <m:t>x</m:t>
            </m:r>
          </m:e>
          <m:sub>
            <m:r>
              <w:rPr>
                <w:rFonts w:ascii="Cambria Math" w:eastAsia="Calibri" w:hAnsi="Cambria Math"/>
              </w:rPr>
              <m:t>0</m:t>
            </m:r>
          </m:sub>
        </m:sSub>
        <m:r>
          <w:rPr>
            <w:rFonts w:ascii="Cambria Math" w:eastAsia="Calibri" w:hAnsi="Cambria Math" w:cs="Arial"/>
          </w:rPr>
          <m:t>=1</m:t>
        </m:r>
      </m:oMath>
      <w:r w:rsidR="005D2CE5">
        <w:t xml:space="preserve">, </w:t>
      </w:r>
      <w:r>
        <w:t xml:space="preserve">allows </w:t>
      </w:r>
      <w:r w:rsidR="005D2CE5">
        <w:t>expression (4)</w:t>
      </w:r>
      <w:r w:rsidR="00611002">
        <w:t xml:space="preserve"> to be simplified</w:t>
      </w:r>
      <w:r w:rsidR="005D2CE5">
        <w:t xml:space="preserve">. Substituting </w:t>
      </w:r>
      <m:oMath>
        <m:sSub>
          <m:sSubPr>
            <m:ctrlPr>
              <w:rPr>
                <w:rFonts w:ascii="Cambria Math" w:eastAsia="Calibri" w:hAnsi="Cambria Math" w:cs="Arial"/>
                <w:i/>
              </w:rPr>
            </m:ctrlPr>
          </m:sSubPr>
          <m:e>
            <m:r>
              <w:rPr>
                <w:rFonts w:ascii="Cambria Math" w:eastAsia="Calibri" w:hAnsi="Cambria Math"/>
              </w:rPr>
              <m:t>x</m:t>
            </m:r>
          </m:e>
          <m:sub>
            <m:r>
              <w:rPr>
                <w:rFonts w:ascii="Cambria Math" w:eastAsia="Calibri" w:hAnsi="Cambria Math"/>
              </w:rPr>
              <m:t>0</m:t>
            </m:r>
          </m:sub>
        </m:sSub>
        <m:r>
          <w:rPr>
            <w:rFonts w:ascii="Cambria Math" w:eastAsia="Calibri" w:hAnsi="Cambria Math" w:cs="Arial"/>
          </w:rPr>
          <m:t>=1</m:t>
        </m:r>
      </m:oMath>
      <w:r>
        <w:t xml:space="preserve"> </w:t>
      </w:r>
      <w:r w:rsidR="005D2CE5">
        <w:t>along with the other calibrated parameter</w:t>
      </w:r>
      <w:r>
        <w:t>s</w:t>
      </w:r>
      <w:r w:rsidR="005D2CE5">
        <w:t xml:space="preserve"> and price values into (4)</w:t>
      </w:r>
      <w:r>
        <w:t xml:space="preserve"> yields</w:t>
      </w:r>
      <w:r w:rsidR="005D2CE5">
        <w:t xml:space="preserve"> </w:t>
      </w:r>
    </w:p>
    <w:p w14:paraId="1C7FFF5E" w14:textId="77777777" w:rsidR="0096784D" w:rsidRDefault="0096784D" w:rsidP="005D2CE5"/>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2"/>
        <w:gridCol w:w="698"/>
      </w:tblGrid>
      <w:tr w:rsidR="0096784D" w14:paraId="2AB71181" w14:textId="77777777" w:rsidTr="00711F37">
        <w:tc>
          <w:tcPr>
            <w:tcW w:w="8662" w:type="dxa"/>
            <w:vAlign w:val="center"/>
          </w:tcPr>
          <w:p w14:paraId="6D041ABF" w14:textId="6F69A2FA" w:rsidR="0096784D" w:rsidRPr="00C85372" w:rsidRDefault="001D561A" w:rsidP="00711F37">
            <w:pPr>
              <w:jc w:val="center"/>
              <w:rPr>
                <w:rFonts w:eastAsia="Calibri" w:cs="Times New Roman"/>
                <w:iCs/>
              </w:rPr>
            </w:pPr>
            <m:oMathPara>
              <m:oMath>
                <m:sSub>
                  <m:sSubPr>
                    <m:ctrlPr>
                      <w:rPr>
                        <w:rFonts w:ascii="Cambria Math" w:eastAsia="Calibri" w:hAnsi="Cambria Math"/>
                        <w:i/>
                      </w:rPr>
                    </m:ctrlPr>
                  </m:sSubPr>
                  <m:e>
                    <m:r>
                      <w:rPr>
                        <w:rFonts w:ascii="Cambria Math" w:eastAsia="Calibri" w:hAnsi="Cambria Math"/>
                      </w:rPr>
                      <m:t>f</m:t>
                    </m:r>
                  </m:e>
                  <m:sub>
                    <m:r>
                      <w:rPr>
                        <w:rFonts w:ascii="Cambria Math" w:eastAsia="Calibri" w:hAnsi="Cambria Math"/>
                      </w:rPr>
                      <m:t>1</m:t>
                    </m:r>
                  </m:sub>
                </m:sSub>
                <m:r>
                  <w:rPr>
                    <w:rFonts w:ascii="Cambria Math" w:eastAsia="Calibri" w:hAnsi="Cambria Math"/>
                  </w:rPr>
                  <m:t>≤</m:t>
                </m:r>
                <m:f>
                  <m:fPr>
                    <m:ctrlPr>
                      <w:rPr>
                        <w:rFonts w:ascii="Cambria Math" w:eastAsia="Calibri" w:hAnsi="Cambria Math"/>
                        <w:i/>
                      </w:rPr>
                    </m:ctrlPr>
                  </m:fPr>
                  <m:num>
                    <m:r>
                      <w:rPr>
                        <w:rFonts w:ascii="Cambria Math" w:eastAsia="Calibri" w:hAnsi="Cambria Math"/>
                      </w:rPr>
                      <m:t>1.50</m:t>
                    </m:r>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o</m:t>
                        </m:r>
                      </m:sub>
                    </m:sSub>
                  </m:num>
                  <m:den>
                    <m:r>
                      <w:rPr>
                        <w:rFonts w:ascii="Cambria Math" w:eastAsia="Calibri" w:hAnsi="Cambria Math"/>
                      </w:rPr>
                      <m:t>0.063-3.55</m:t>
                    </m:r>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o</m:t>
                        </m:r>
                      </m:sub>
                    </m:sSub>
                  </m:den>
                </m:f>
                <m:r>
                  <w:rPr>
                    <w:rFonts w:ascii="Cambria Math" w:eastAsia="Calibri" w:hAnsi="Cambria Math"/>
                  </w:rPr>
                  <m:t>.</m:t>
                </m:r>
              </m:oMath>
            </m:oMathPara>
          </w:p>
        </w:tc>
        <w:tc>
          <w:tcPr>
            <w:tcW w:w="698" w:type="dxa"/>
          </w:tcPr>
          <w:p w14:paraId="5183072C" w14:textId="77777777" w:rsidR="0096784D" w:rsidRDefault="0096784D" w:rsidP="00711F37">
            <w:pPr>
              <w:spacing w:before="120" w:after="120" w:line="360" w:lineRule="auto"/>
              <w:rPr>
                <w:rFonts w:cs="Times New Roman"/>
              </w:rPr>
            </w:pPr>
            <w:r>
              <w:rPr>
                <w:rFonts w:cs="Times New Roman"/>
              </w:rPr>
              <w:t>(5)</w:t>
            </w:r>
          </w:p>
        </w:tc>
      </w:tr>
    </w:tbl>
    <w:p w14:paraId="098BBC09" w14:textId="77777777" w:rsidR="005D2CE5" w:rsidRDefault="005D2CE5" w:rsidP="002422FF">
      <w:pPr>
        <w:ind w:firstLine="0"/>
        <w:rPr>
          <w:rFonts w:eastAsia="Calibri"/>
        </w:rPr>
      </w:pPr>
    </w:p>
    <w:p w14:paraId="2A7762BF" w14:textId="402F6A4B" w:rsidR="00865E4A" w:rsidRDefault="0096784D" w:rsidP="00AA69E1">
      <w:pPr>
        <w:ind w:firstLine="0"/>
      </w:pPr>
      <w:r>
        <w:t xml:space="preserve">where </w:t>
      </w:r>
      <m:oMath>
        <m:sSub>
          <m:sSubPr>
            <m:ctrlPr>
              <w:rPr>
                <w:rFonts w:ascii="Cambria Math" w:hAnsi="Cambria Math"/>
                <w:i/>
              </w:rPr>
            </m:ctrlPr>
          </m:sSubPr>
          <m:e>
            <m:r>
              <w:rPr>
                <w:rFonts w:ascii="Cambria Math" w:hAnsi="Cambria Math"/>
              </w:rPr>
              <m:t>f</m:t>
            </m:r>
          </m:e>
          <m:sub>
            <m:r>
              <w:rPr>
                <w:rFonts w:ascii="Cambria Math" w:hAnsi="Cambria Math"/>
              </w:rPr>
              <m:t>i</m:t>
            </m:r>
          </m:sub>
        </m:sSub>
        <m:r>
          <w:rPr>
            <w:rFonts w:ascii="Cambria Math" w:hAnsi="Cambria Math"/>
          </w:rPr>
          <m:t>≡1-</m:t>
        </m:r>
        <m:sSub>
          <m:sSubPr>
            <m:ctrlPr>
              <w:rPr>
                <w:rFonts w:ascii="Cambria Math" w:hAnsi="Cambria Math"/>
                <w:i/>
              </w:rPr>
            </m:ctrlPr>
          </m:sSubPr>
          <m:e>
            <m:r>
              <w:rPr>
                <w:rFonts w:ascii="Cambria Math" w:hAnsi="Cambria Math"/>
              </w:rPr>
              <m:t>x</m:t>
            </m:r>
          </m:e>
          <m:sub>
            <m:r>
              <w:rPr>
                <w:rFonts w:ascii="Cambria Math" w:hAnsi="Cambria Math"/>
              </w:rPr>
              <m:t>i</m:t>
            </m:r>
          </m:sub>
        </m:sSub>
      </m:oMath>
      <w:r>
        <w:t xml:space="preserve">. Intuitively, equation (5) says that the </w:t>
      </w:r>
      <w:r w:rsidR="00AA69E1">
        <w:t xml:space="preserve">designer prefers the lower price only if it does not drive the </w:t>
      </w:r>
      <w:r w:rsidR="00FF50B8">
        <w:t xml:space="preserve">probability the AMC fails to induce firm participation </w:t>
      </w:r>
      <w:r w:rsidR="00AA69E1">
        <w:t xml:space="preserve">too high. The fact that the </w:t>
      </w:r>
      <w:r w:rsidR="001414A8" w:rsidRPr="005D2CE5">
        <w:t>right-hand side of (</w:t>
      </w:r>
      <w:r w:rsidR="00AA69E1">
        <w:t>5</w:t>
      </w:r>
      <w:r w:rsidR="001414A8" w:rsidRPr="005D2CE5">
        <w:t xml:space="preserve">) is decreasing in </w:t>
      </w:r>
      <m:oMath>
        <m:sSub>
          <m:sSubPr>
            <m:ctrlPr>
              <w:rPr>
                <w:rFonts w:ascii="Cambria Math" w:hAnsi="Cambria Math"/>
              </w:rPr>
            </m:ctrlPr>
          </m:sSubPr>
          <m:e>
            <m:r>
              <w:rPr>
                <w:rFonts w:ascii="Cambria Math" w:hAnsi="Cambria Math"/>
              </w:rPr>
              <m:t>h</m:t>
            </m:r>
          </m:e>
          <m:sub>
            <m:r>
              <w:rPr>
                <w:rFonts w:ascii="Cambria Math" w:hAnsi="Cambria Math"/>
              </w:rPr>
              <m:t>o</m:t>
            </m:r>
          </m:sub>
        </m:sSub>
      </m:oMath>
      <w:r w:rsidR="00AA69E1">
        <w:t xml:space="preserve"> </w:t>
      </w:r>
      <w:r w:rsidR="001414A8" w:rsidRPr="005D2CE5">
        <w:t xml:space="preserve">implies that </w:t>
      </w:r>
      <w:r w:rsidR="002422FF" w:rsidRPr="005D2CE5">
        <w:t xml:space="preserve">an increase in </w:t>
      </w:r>
      <w:r w:rsidR="001414A8" w:rsidRPr="005D2CE5">
        <w:t xml:space="preserve">the opportunity cost of funds </w:t>
      </w:r>
      <w:r w:rsidR="00AA69E1">
        <w:t xml:space="preserve">relaxes the condition, increasing </w:t>
      </w:r>
      <w:r w:rsidR="002422FF" w:rsidRPr="005D2CE5">
        <w:t>the appeal of a low price</w:t>
      </w:r>
      <w:r w:rsidR="001414A8" w:rsidRPr="005D2CE5">
        <w:t xml:space="preserve">. </w:t>
      </w:r>
      <w:r w:rsidR="00FF50B8">
        <w:t xml:space="preserve">In other words, </w:t>
      </w:r>
      <w:r w:rsidR="00AA69E1">
        <w:t xml:space="preserve">a </w:t>
      </w:r>
      <w:r w:rsidR="002422FF" w:rsidRPr="005D2CE5">
        <w:t xml:space="preserve">reduction in the opportunity cost of funds </w:t>
      </w:r>
      <w:r w:rsidR="002422FF" w:rsidRPr="002422FF">
        <w:t xml:space="preserve">tightens the condition under which the designer prefers the lower price; lowering the price to </w:t>
      </w:r>
      <m:oMath>
        <m:sSub>
          <m:sSubPr>
            <m:ctrlPr>
              <w:rPr>
                <w:rFonts w:ascii="Cambria Math" w:hAnsi="Cambria Math"/>
                <w:i/>
              </w:rPr>
            </m:ctrlPr>
          </m:sSubPr>
          <m:e>
            <m:r>
              <w:rPr>
                <w:rFonts w:ascii="Cambria Math" w:hAnsi="Cambria Math"/>
              </w:rPr>
              <m:t>p</m:t>
            </m:r>
          </m:e>
          <m:sub>
            <m:r>
              <w:rPr>
                <w:rFonts w:ascii="Cambria Math" w:hAnsi="Cambria Math"/>
              </w:rPr>
              <m:t>1</m:t>
            </m:r>
          </m:sub>
        </m:sSub>
        <m:r>
          <m:rPr>
            <m:sty m:val="p"/>
          </m:rPr>
          <w:rPr>
            <w:rFonts w:ascii="Cambria Math" w:hAnsi="Cambria Math"/>
          </w:rPr>
          <m:t>=$2.00</m:t>
        </m:r>
      </m:oMath>
      <w:r w:rsidR="002422FF" w:rsidRPr="002422FF">
        <w:t xml:space="preserve"> would only make sense if </w:t>
      </w:r>
      <w:r w:rsidR="00E86479">
        <w:t xml:space="preserve">the designer remains </w:t>
      </w:r>
      <w:r w:rsidR="002422FF" w:rsidRPr="002422FF">
        <w:t xml:space="preserve">fairly certain </w:t>
      </w:r>
      <w:r w:rsidR="00E86479">
        <w:t xml:space="preserve">that firms </w:t>
      </w:r>
      <w:r w:rsidR="002422FF" w:rsidRPr="002422FF">
        <w:t>participate at this lower price.</w:t>
      </w:r>
      <w:r w:rsidR="008E17D3">
        <w:t xml:space="preserve"> </w:t>
      </w:r>
      <w:r w:rsidR="00AA69E1">
        <w:t xml:space="preserve">Denote the threshold value of the failure rate at which condition (5) just holds with equality by </w:t>
      </w:r>
      <m:oMath>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w:rPr>
                <w:rFonts w:ascii="Cambria Math" w:hAnsi="Cambria Math"/>
              </w:rPr>
              <m:t>1</m:t>
            </m:r>
          </m:sub>
        </m:sSub>
      </m:oMath>
    </w:p>
    <w:p w14:paraId="70190BD7" w14:textId="22D0AB4E" w:rsidR="00AA69E1" w:rsidRDefault="00AA69E1" w:rsidP="00AA69E1">
      <w:r w:rsidRPr="00865E4A">
        <w:lastRenderedPageBreak/>
        <w:t xml:space="preserve">Table 2 </w:t>
      </w:r>
      <w:r>
        <w:t xml:space="preserve">computes </w:t>
      </w:r>
      <w:r w:rsidRPr="00865E4A">
        <w:t xml:space="preserve">the threshold </w:t>
      </w:r>
      <m:oMath>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w:rPr>
                <w:rFonts w:ascii="Cambria Math" w:hAnsi="Cambria Math"/>
              </w:rPr>
              <m:t>1</m:t>
            </m:r>
          </m:sub>
        </m:sSub>
      </m:oMath>
      <w:r>
        <w:t xml:space="preserve"> for a range of values of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rsidRPr="00865E4A">
        <w:t xml:space="preserve">. The </w:t>
      </w:r>
      <w:r>
        <w:t xml:space="preserve">first row </w:t>
      </w:r>
      <w:r w:rsidRPr="00865E4A">
        <w:t xml:space="preserve">assumes the cost of </w:t>
      </w:r>
      <w:r>
        <w:t xml:space="preserve">saving </w:t>
      </w:r>
      <w:r w:rsidRPr="00865E4A">
        <w:t xml:space="preserve">a DALY through alternative </w:t>
      </w:r>
      <w:r>
        <w:t xml:space="preserve">means </w:t>
      </w:r>
      <w:r w:rsidRPr="00865E4A">
        <w:t>is $</w:t>
      </w:r>
      <w:r>
        <w:t>4,914</w:t>
      </w:r>
      <w:r w:rsidRPr="00865E4A">
        <w:t xml:space="preserve">, </w:t>
      </w:r>
      <w:r>
        <w:t xml:space="preserve">three times </w:t>
      </w:r>
      <w:r w:rsidRPr="00865E4A">
        <w:t>per-capita GDP</w:t>
      </w:r>
      <w:r>
        <w:t xml:space="preserve"> in GAVI countries</w:t>
      </w:r>
      <w:r w:rsidR="00AD43AC">
        <w:t xml:space="preserve"> measured in 2009, the year </w:t>
      </w:r>
      <w:r w:rsidR="00A33F13">
        <w:t>the AMC was launched</w:t>
      </w:r>
      <w:r>
        <w:t xml:space="preserve">. Saving a DALY at three times per-capita GDP is the </w:t>
      </w:r>
      <w:r w:rsidRPr="00865E4A">
        <w:t xml:space="preserve">WHO threshold for </w:t>
      </w:r>
      <w:r>
        <w:t xml:space="preserve">a </w:t>
      </w:r>
      <w:r w:rsidRPr="00865E4A">
        <w:t>cost</w:t>
      </w:r>
      <w:r>
        <w:t>-</w:t>
      </w:r>
      <w:r w:rsidRPr="00865E4A">
        <w:t>effective</w:t>
      </w:r>
      <w:r>
        <w:t xml:space="preserve"> intervention in a country</w:t>
      </w:r>
      <w:r w:rsidRPr="00865E4A">
        <w:t xml:space="preserve">. </w:t>
      </w:r>
      <w:r>
        <w:t xml:space="preserve">This high figure of $4,914 translates into a low opportunity cost of AMC funds in the third column, </w:t>
      </w: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=2.305</m:t>
        </m:r>
        <m:r>
          <m:rPr>
            <m:nor/>
          </m:rPr>
          <w:rPr>
            <w:rFonts w:ascii="Cambria Math" w:hAnsi="Cambria Math"/>
          </w:rPr>
          <m:t>e-4</m:t>
        </m:r>
      </m:oMath>
      <w:r>
        <w:t xml:space="preserve">. With such a low </w:t>
      </w:r>
      <w:r w:rsidRPr="00865E4A">
        <w:t xml:space="preserve">opportunity cost, an AMC price of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=$2.00</m:t>
        </m:r>
      </m:oMath>
      <w:r>
        <w:t xml:space="preserve"> i</w:t>
      </w:r>
      <w:r w:rsidRPr="00865E4A">
        <w:t xml:space="preserve">s preferred only if </w:t>
      </w:r>
      <w:r w:rsidR="00C31CA7">
        <w:t xml:space="preserve">there is a less than </w:t>
      </w:r>
      <m:oMath>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w:rPr>
                <w:rFonts w:ascii="Cambria Math" w:hAnsi="Cambria Math"/>
              </w:rPr>
              <m:t>1</m:t>
            </m:r>
          </m:sub>
        </m:sSub>
        <m:r>
          <w:rPr>
            <w:rFonts w:ascii="Cambria Math" w:hAnsi="Cambria Math"/>
          </w:rPr>
          <m:t>=0.5%</m:t>
        </m:r>
      </m:oMath>
      <w:r w:rsidR="00C31CA7">
        <w:t xml:space="preserve"> chance (one in two hundred) that firms fail to participate at this lower price</w:t>
      </w:r>
      <w:r>
        <w:t xml:space="preserve">. </w:t>
      </w:r>
    </w:p>
    <w:p w14:paraId="0DFBD5B1" w14:textId="77777777" w:rsidR="00AA69E1" w:rsidRDefault="00AA69E1" w:rsidP="00AA69E1">
      <w:pPr>
        <w:ind w:firstLine="0"/>
        <w:rPr>
          <w:rFonts w:eastAsia="Calibri"/>
        </w:rPr>
      </w:pPr>
    </w:p>
    <w:tbl>
      <w:tblPr>
        <w:tblStyle w:val="TableGrid"/>
        <w:tblW w:w="9360" w:type="dxa"/>
        <w:tblLook w:val="06A0" w:firstRow="1" w:lastRow="0" w:firstColumn="1" w:lastColumn="0" w:noHBand="1" w:noVBand="1"/>
      </w:tblPr>
      <w:tblGrid>
        <w:gridCol w:w="2340"/>
        <w:gridCol w:w="2493"/>
        <w:gridCol w:w="2179"/>
        <w:gridCol w:w="2348"/>
      </w:tblGrid>
      <w:tr w:rsidR="00452443" w14:paraId="50332BCD" w14:textId="77777777" w:rsidTr="006E3728">
        <w:tc>
          <w:tcPr>
            <w:tcW w:w="9360" w:type="dxa"/>
            <w:gridSpan w:val="4"/>
            <w:tcBorders>
              <w:top w:val="nil"/>
              <w:left w:val="nil"/>
              <w:bottom w:val="double" w:sz="4" w:space="0" w:color="auto"/>
              <w:right w:val="nil"/>
            </w:tcBorders>
          </w:tcPr>
          <w:p w14:paraId="743C8124" w14:textId="1BA5F6F6" w:rsidR="00452443" w:rsidRDefault="00452443" w:rsidP="00E16326">
            <w:pPr>
              <w:pStyle w:val="TableHeading"/>
              <w:pBdr>
                <w:bottom w:val="none" w:sz="0" w:space="0" w:color="auto"/>
              </w:pBdr>
              <w:ind w:right="0"/>
            </w:pPr>
            <w:r>
              <w:t>Table 2</w:t>
            </w:r>
            <w:r w:rsidRPr="0052428D">
              <w:t>—</w:t>
            </w:r>
            <w:r>
              <w:t xml:space="preserve"> Threshold </w:t>
            </w:r>
            <w:r w:rsidR="008F5EC8">
              <w:t xml:space="preserve">Rate of Participation Failure for </w:t>
            </w:r>
            <w:r w:rsidR="008E17D3">
              <w:t xml:space="preserve">Designer </w:t>
            </w:r>
            <w:r w:rsidR="008F5EC8">
              <w:t xml:space="preserve">to </w:t>
            </w:r>
            <w:r w:rsidR="008E17D3">
              <w:t>Prefer $</w:t>
            </w:r>
            <w:r w:rsidR="00E16326">
              <w:t>2</w:t>
            </w:r>
            <w:r w:rsidR="008E17D3">
              <w:t>.00 Price</w:t>
            </w:r>
          </w:p>
        </w:tc>
      </w:tr>
      <w:tr w:rsidR="00E16326" w14:paraId="4537A119" w14:textId="77777777" w:rsidTr="00A61FC6">
        <w:trPr>
          <w:trHeight w:val="663"/>
        </w:trPr>
        <w:tc>
          <w:tcPr>
            <w:tcW w:w="2340" w:type="dxa"/>
            <w:tcBorders>
              <w:top w:val="double" w:sz="4" w:space="0" w:color="auto"/>
              <w:left w:val="nil"/>
              <w:bottom w:val="nil"/>
              <w:right w:val="nil"/>
            </w:tcBorders>
            <w:vAlign w:val="bottom"/>
          </w:tcPr>
          <w:p w14:paraId="076BD96E" w14:textId="5928A75A" w:rsidR="00E16326" w:rsidRDefault="008E17D3" w:rsidP="006E3728">
            <w:pPr>
              <w:pStyle w:val="TableHeading"/>
              <w:pBdr>
                <w:bottom w:val="none" w:sz="0" w:space="0" w:color="auto"/>
              </w:pBdr>
              <w:ind w:right="0"/>
              <w:jc w:val="left"/>
              <w:rPr>
                <w:iCs/>
                <w:smallCaps w:val="0"/>
                <w:spacing w:val="0"/>
                <w:w w:val="100"/>
              </w:rPr>
            </w:pPr>
            <w:r w:rsidRPr="00035007">
              <w:rPr>
                <w:iCs/>
                <w:smallCaps w:val="0"/>
                <w:spacing w:val="0"/>
                <w:w w:val="100"/>
              </w:rPr>
              <w:t>Cost effectiveness of</w:t>
            </w:r>
          </w:p>
          <w:p w14:paraId="3CEE3B00" w14:textId="77777777" w:rsidR="00452443" w:rsidRDefault="008E17D3" w:rsidP="006E3728">
            <w:pPr>
              <w:pStyle w:val="TableHeading"/>
              <w:pBdr>
                <w:bottom w:val="none" w:sz="0" w:space="0" w:color="auto"/>
              </w:pBdr>
              <w:ind w:right="0"/>
              <w:jc w:val="left"/>
              <w:rPr>
                <w:iCs/>
                <w:smallCaps w:val="0"/>
                <w:spacing w:val="0"/>
                <w:w w:val="100"/>
              </w:rPr>
            </w:pPr>
            <w:r w:rsidRPr="00035007">
              <w:rPr>
                <w:iCs/>
                <w:smallCaps w:val="0"/>
                <w:spacing w:val="0"/>
                <w:w w:val="100"/>
              </w:rPr>
              <w:t>alternative intervention</w:t>
            </w:r>
            <w:r w:rsidR="006E3728">
              <w:rPr>
                <w:iCs/>
                <w:smallCaps w:val="0"/>
                <w:spacing w:val="0"/>
                <w:w w:val="100"/>
              </w:rPr>
              <w:t>,</w:t>
            </w:r>
            <w:r w:rsidR="00E16326">
              <w:rPr>
                <w:iCs/>
                <w:smallCaps w:val="0"/>
                <w:spacing w:val="0"/>
                <w:w w:val="100"/>
              </w:rPr>
              <w:t xml:space="preserve"> </w:t>
            </w:r>
            <m:oMath>
              <m:r>
                <w:rPr>
                  <w:rFonts w:ascii="Cambria Math" w:hAnsi="Cambria Math"/>
                  <w:smallCaps w:val="0"/>
                  <w:spacing w:val="0"/>
                  <w:w w:val="100"/>
                </w:rPr>
                <m:t>1/</m:t>
              </m:r>
              <m:sSub>
                <m:sSubPr>
                  <m:ctrlPr>
                    <w:rPr>
                      <w:rFonts w:ascii="Cambria Math" w:hAnsi="Cambria Math"/>
                      <w:i/>
                      <w:iCs/>
                      <w:smallCaps w:val="0"/>
                      <w:spacing w:val="0"/>
                      <w:w w:val="100"/>
                    </w:rPr>
                  </m:ctrlPr>
                </m:sSubPr>
                <m:e>
                  <m:r>
                    <w:rPr>
                      <w:rFonts w:ascii="Cambria Math" w:hAnsi="Cambria Math"/>
                      <w:smallCaps w:val="0"/>
                      <w:spacing w:val="0"/>
                      <w:w w:val="100"/>
                    </w:rPr>
                    <m:t>h</m:t>
                  </m:r>
                </m:e>
                <m:sub>
                  <m:r>
                    <w:rPr>
                      <w:rFonts w:ascii="Cambria Math" w:hAnsi="Cambria Math"/>
                      <w:smallCaps w:val="0"/>
                      <w:spacing w:val="0"/>
                      <w:w w:val="100"/>
                    </w:rPr>
                    <m:t>o</m:t>
                  </m:r>
                </m:sub>
              </m:sSub>
            </m:oMath>
          </w:p>
          <w:p w14:paraId="56243CB3" w14:textId="0992BD49" w:rsidR="006E3728" w:rsidRPr="00F844D5" w:rsidRDefault="006E3728" w:rsidP="006E3728">
            <w:pPr>
              <w:pStyle w:val="TableHeading"/>
              <w:pBdr>
                <w:bottom w:val="none" w:sz="0" w:space="0" w:color="auto"/>
              </w:pBdr>
              <w:ind w:right="0"/>
              <w:jc w:val="left"/>
              <w:rPr>
                <w:iCs/>
                <w:smallCaps w:val="0"/>
                <w:spacing w:val="0"/>
                <w:w w:val="100"/>
              </w:rPr>
            </w:pPr>
            <w:r>
              <w:rPr>
                <w:iCs/>
                <w:smallCaps w:val="0"/>
                <w:spacing w:val="0"/>
                <w:w w:val="100"/>
              </w:rPr>
              <w:t>($ per DALY)</w:t>
            </w:r>
          </w:p>
        </w:tc>
        <w:tc>
          <w:tcPr>
            <w:tcW w:w="2493" w:type="dxa"/>
            <w:tcBorders>
              <w:top w:val="double" w:sz="4" w:space="0" w:color="auto"/>
              <w:left w:val="nil"/>
              <w:bottom w:val="nil"/>
              <w:right w:val="nil"/>
            </w:tcBorders>
            <w:vAlign w:val="bottom"/>
          </w:tcPr>
          <w:p w14:paraId="47398814" w14:textId="4EFA6986" w:rsidR="00452443" w:rsidRDefault="00035007" w:rsidP="00E86479">
            <w:pPr>
              <w:pStyle w:val="TableHeading"/>
              <w:pBdr>
                <w:bottom w:val="none" w:sz="0" w:space="0" w:color="auto"/>
              </w:pBdr>
              <w:ind w:right="0"/>
              <w:jc w:val="left"/>
              <w:rPr>
                <w:iCs/>
                <w:smallCaps w:val="0"/>
                <w:spacing w:val="0"/>
                <w:w w:val="100"/>
              </w:rPr>
            </w:pPr>
            <w:r>
              <w:rPr>
                <w:iCs/>
                <w:smallCaps w:val="0"/>
                <w:spacing w:val="0"/>
                <w:w w:val="100"/>
              </w:rPr>
              <w:t>Rationale</w:t>
            </w:r>
            <w:r w:rsidR="00E16326">
              <w:rPr>
                <w:iCs/>
                <w:smallCaps w:val="0"/>
                <w:spacing w:val="0"/>
                <w:w w:val="100"/>
              </w:rPr>
              <w:t xml:space="preserve"> for</w:t>
            </w:r>
            <w:r w:rsidR="00E86479">
              <w:rPr>
                <w:iCs/>
                <w:smallCaps w:val="0"/>
                <w:spacing w:val="0"/>
                <w:w w:val="100"/>
              </w:rPr>
              <w:t xml:space="preserve"> </w:t>
            </w:r>
            <w:r w:rsidR="006E3728">
              <w:rPr>
                <w:iCs/>
                <w:smallCaps w:val="0"/>
                <w:spacing w:val="0"/>
                <w:w w:val="100"/>
              </w:rPr>
              <w:t xml:space="preserve">cost-effectiveness </w:t>
            </w:r>
            <w:r w:rsidR="00E16326">
              <w:rPr>
                <w:iCs/>
                <w:smallCaps w:val="0"/>
                <w:spacing w:val="0"/>
                <w:w w:val="100"/>
              </w:rPr>
              <w:t>measure</w:t>
            </w:r>
          </w:p>
        </w:tc>
        <w:tc>
          <w:tcPr>
            <w:tcW w:w="2179" w:type="dxa"/>
            <w:tcBorders>
              <w:top w:val="double" w:sz="4" w:space="0" w:color="auto"/>
              <w:left w:val="nil"/>
              <w:bottom w:val="nil"/>
              <w:right w:val="nil"/>
            </w:tcBorders>
            <w:vAlign w:val="bottom"/>
          </w:tcPr>
          <w:p w14:paraId="05263412" w14:textId="5E48A50F" w:rsidR="00452443" w:rsidRDefault="001D561A" w:rsidP="006E3728">
            <w:pPr>
              <w:pStyle w:val="TableHeading"/>
              <w:pBdr>
                <w:bottom w:val="none" w:sz="0" w:space="0" w:color="auto"/>
              </w:pBdr>
              <w:ind w:right="0"/>
              <w:rPr>
                <w:iCs/>
                <w:smallCaps w:val="0"/>
                <w:spacing w:val="0"/>
                <w:w w:val="100"/>
              </w:rPr>
            </w:pPr>
            <m:oMathPara>
              <m:oMath>
                <m:sSub>
                  <m:sSubPr>
                    <m:ctrlPr>
                      <w:rPr>
                        <w:rFonts w:ascii="Cambria Math" w:hAnsi="Cambria Math"/>
                        <w:i/>
                        <w:iCs/>
                        <w:smallCaps w:val="0"/>
                        <w:spacing w:val="0"/>
                        <w:w w:val="100"/>
                      </w:rPr>
                    </m:ctrlPr>
                  </m:sSubPr>
                  <m:e>
                    <m:r>
                      <w:rPr>
                        <w:rFonts w:ascii="Cambria Math" w:hAnsi="Cambria Math"/>
                        <w:smallCaps w:val="0"/>
                        <w:spacing w:val="0"/>
                        <w:w w:val="100"/>
                      </w:rPr>
                      <m:t>h</m:t>
                    </m:r>
                  </m:e>
                  <m:sub>
                    <m:r>
                      <w:rPr>
                        <w:rFonts w:ascii="Cambria Math" w:hAnsi="Cambria Math"/>
                        <w:smallCaps w:val="0"/>
                        <w:spacing w:val="0"/>
                        <w:w w:val="100"/>
                      </w:rPr>
                      <m:t>o</m:t>
                    </m:r>
                  </m:sub>
                </m:sSub>
              </m:oMath>
            </m:oMathPara>
          </w:p>
        </w:tc>
        <w:tc>
          <w:tcPr>
            <w:tcW w:w="2348" w:type="dxa"/>
            <w:tcBorders>
              <w:top w:val="double" w:sz="4" w:space="0" w:color="auto"/>
              <w:left w:val="nil"/>
              <w:bottom w:val="nil"/>
              <w:right w:val="nil"/>
            </w:tcBorders>
            <w:vAlign w:val="bottom"/>
          </w:tcPr>
          <w:p w14:paraId="2994B19D" w14:textId="77777777" w:rsidR="00AA69E1" w:rsidRDefault="00A61FC6" w:rsidP="00A61FC6">
            <w:pPr>
              <w:pStyle w:val="TableHeading"/>
              <w:pBdr>
                <w:bottom w:val="none" w:sz="0" w:space="0" w:color="auto"/>
              </w:pBdr>
              <w:ind w:right="0"/>
              <w:rPr>
                <w:iCs/>
                <w:smallCaps w:val="0"/>
                <w:spacing w:val="0"/>
                <w:w w:val="100"/>
              </w:rPr>
            </w:pPr>
            <w:r>
              <w:rPr>
                <w:iCs/>
                <w:smallCaps w:val="0"/>
                <w:spacing w:val="0"/>
                <w:w w:val="100"/>
              </w:rPr>
              <w:t>Threshold</w:t>
            </w:r>
            <w:r w:rsidR="00AA69E1">
              <w:rPr>
                <w:iCs/>
                <w:smallCaps w:val="0"/>
                <w:spacing w:val="0"/>
                <w:w w:val="100"/>
              </w:rPr>
              <w:t xml:space="preserve"> failure </w:t>
            </w:r>
          </w:p>
          <w:p w14:paraId="25A850FC" w14:textId="55F7DFBD" w:rsidR="00452443" w:rsidRDefault="00AA69E1" w:rsidP="00A61FC6">
            <w:pPr>
              <w:pStyle w:val="TableHeading"/>
              <w:pBdr>
                <w:bottom w:val="none" w:sz="0" w:space="0" w:color="auto"/>
              </w:pBdr>
              <w:ind w:right="0"/>
              <w:rPr>
                <w:iCs/>
                <w:smallCaps w:val="0"/>
                <w:spacing w:val="0"/>
                <w:w w:val="100"/>
              </w:rPr>
            </w:pPr>
            <w:r>
              <w:rPr>
                <w:iCs/>
                <w:smallCaps w:val="0"/>
                <w:spacing w:val="0"/>
                <w:w w:val="100"/>
              </w:rPr>
              <w:t>rate</w:t>
            </w:r>
            <w:r w:rsidR="00A61FC6">
              <w:rPr>
                <w:iCs/>
                <w:smallCaps w:val="0"/>
                <w:spacing w:val="0"/>
                <w:w w:val="100"/>
              </w:rPr>
              <w:t xml:space="preserve"> </w:t>
            </w:r>
            <m:oMath>
              <m:sSub>
                <m:sSubPr>
                  <m:ctrlPr>
                    <w:rPr>
                      <w:rFonts w:ascii="Cambria Math" w:hAnsi="Cambria Math"/>
                      <w:i/>
                      <w:iCs/>
                      <w:smallCaps w:val="0"/>
                      <w:spacing w:val="0"/>
                      <w:w w:val="100"/>
                    </w:rPr>
                  </m:ctrlPr>
                </m:sSubPr>
                <m:e>
                  <m:acc>
                    <m:accPr>
                      <m:ctrlPr>
                        <w:rPr>
                          <w:rFonts w:ascii="Cambria Math" w:hAnsi="Cambria Math"/>
                          <w:i/>
                          <w:iCs/>
                          <w:smallCaps w:val="0"/>
                          <w:spacing w:val="0"/>
                          <w:w w:val="100"/>
                        </w:rPr>
                      </m:ctrlPr>
                    </m:accPr>
                    <m:e>
                      <m:r>
                        <w:rPr>
                          <w:rFonts w:ascii="Cambria Math" w:hAnsi="Cambria Math"/>
                          <w:smallCaps w:val="0"/>
                          <w:spacing w:val="0"/>
                          <w:w w:val="100"/>
                        </w:rPr>
                        <m:t>f</m:t>
                      </m:r>
                    </m:e>
                  </m:acc>
                </m:e>
                <m:sub>
                  <m:r>
                    <w:rPr>
                      <w:rFonts w:ascii="Cambria Math" w:hAnsi="Cambria Math"/>
                      <w:smallCaps w:val="0"/>
                      <w:spacing w:val="0"/>
                      <w:w w:val="100"/>
                    </w:rPr>
                    <m:t>1</m:t>
                  </m:r>
                </m:sub>
              </m:sSub>
            </m:oMath>
          </w:p>
        </w:tc>
      </w:tr>
      <w:tr w:rsidR="006E3728" w14:paraId="6D6EEC5A" w14:textId="77777777" w:rsidTr="005265E1">
        <w:trPr>
          <w:trHeight w:val="50"/>
        </w:trPr>
        <w:tc>
          <w:tcPr>
            <w:tcW w:w="2340" w:type="dxa"/>
            <w:tcBorders>
              <w:top w:val="nil"/>
              <w:left w:val="nil"/>
              <w:bottom w:val="single" w:sz="4" w:space="0" w:color="auto"/>
              <w:right w:val="nil"/>
            </w:tcBorders>
            <w:vAlign w:val="center"/>
          </w:tcPr>
          <w:p w14:paraId="64E54DA7" w14:textId="77777777" w:rsidR="006E3728" w:rsidRPr="00035007" w:rsidRDefault="006E3728" w:rsidP="00E16326">
            <w:pPr>
              <w:pStyle w:val="TableHeading"/>
              <w:pBdr>
                <w:bottom w:val="none" w:sz="0" w:space="0" w:color="auto"/>
              </w:pBdr>
              <w:ind w:right="0"/>
              <w:jc w:val="left"/>
              <w:rPr>
                <w:iCs/>
                <w:smallCaps w:val="0"/>
                <w:spacing w:val="0"/>
                <w:w w:val="100"/>
              </w:rPr>
            </w:pPr>
          </w:p>
        </w:tc>
        <w:tc>
          <w:tcPr>
            <w:tcW w:w="2493" w:type="dxa"/>
            <w:tcBorders>
              <w:top w:val="nil"/>
              <w:left w:val="nil"/>
              <w:bottom w:val="single" w:sz="4" w:space="0" w:color="auto"/>
              <w:right w:val="nil"/>
            </w:tcBorders>
            <w:vAlign w:val="center"/>
          </w:tcPr>
          <w:p w14:paraId="4BE0D9F5" w14:textId="77777777" w:rsidR="006E3728" w:rsidRDefault="006E3728" w:rsidP="00E86479">
            <w:pPr>
              <w:pStyle w:val="TableHeading"/>
              <w:pBdr>
                <w:bottom w:val="none" w:sz="0" w:space="0" w:color="auto"/>
              </w:pBdr>
              <w:ind w:right="0"/>
              <w:jc w:val="left"/>
              <w:rPr>
                <w:iCs/>
                <w:smallCaps w:val="0"/>
                <w:spacing w:val="0"/>
                <w:w w:val="100"/>
              </w:rPr>
            </w:pPr>
          </w:p>
        </w:tc>
        <w:tc>
          <w:tcPr>
            <w:tcW w:w="2179" w:type="dxa"/>
            <w:tcBorders>
              <w:top w:val="nil"/>
              <w:left w:val="nil"/>
              <w:bottom w:val="single" w:sz="4" w:space="0" w:color="auto"/>
              <w:right w:val="nil"/>
            </w:tcBorders>
            <w:vAlign w:val="center"/>
          </w:tcPr>
          <w:p w14:paraId="0C166120" w14:textId="77777777" w:rsidR="006E3728" w:rsidRPr="00EB7329" w:rsidRDefault="006E3728" w:rsidP="00E16326">
            <w:pPr>
              <w:pStyle w:val="TableHeading"/>
              <w:pBdr>
                <w:bottom w:val="none" w:sz="0" w:space="0" w:color="auto"/>
              </w:pBdr>
              <w:ind w:right="0"/>
              <w:rPr>
                <w:iCs/>
                <w:smallCaps w:val="0"/>
                <w:spacing w:val="0"/>
                <w:w w:val="100"/>
              </w:rPr>
            </w:pPr>
          </w:p>
        </w:tc>
        <w:tc>
          <w:tcPr>
            <w:tcW w:w="2348" w:type="dxa"/>
            <w:tcBorders>
              <w:top w:val="nil"/>
              <w:left w:val="nil"/>
              <w:bottom w:val="single" w:sz="4" w:space="0" w:color="auto"/>
              <w:right w:val="nil"/>
            </w:tcBorders>
            <w:vAlign w:val="center"/>
          </w:tcPr>
          <w:p w14:paraId="5198C94A" w14:textId="77777777" w:rsidR="006E3728" w:rsidRDefault="006E3728" w:rsidP="00E16326">
            <w:pPr>
              <w:pStyle w:val="TableHeading"/>
              <w:pBdr>
                <w:bottom w:val="none" w:sz="0" w:space="0" w:color="auto"/>
              </w:pBdr>
              <w:ind w:right="0"/>
              <w:rPr>
                <w:iCs/>
                <w:smallCaps w:val="0"/>
                <w:spacing w:val="0"/>
                <w:w w:val="100"/>
              </w:rPr>
            </w:pPr>
          </w:p>
        </w:tc>
      </w:tr>
      <w:tr w:rsidR="008E17D3" w14:paraId="7378A92A" w14:textId="77777777" w:rsidTr="00E16326">
        <w:trPr>
          <w:trHeight w:val="245"/>
        </w:trPr>
        <w:tc>
          <w:tcPr>
            <w:tcW w:w="2340" w:type="dxa"/>
            <w:tcBorders>
              <w:top w:val="single" w:sz="4" w:space="0" w:color="auto"/>
              <w:left w:val="nil"/>
              <w:bottom w:val="nil"/>
              <w:right w:val="nil"/>
            </w:tcBorders>
            <w:vAlign w:val="bottom"/>
          </w:tcPr>
          <w:p w14:paraId="022C15DA" w14:textId="3E3975B8" w:rsidR="00452443" w:rsidRDefault="006E3728" w:rsidP="00E16326">
            <w:pPr>
              <w:pStyle w:val="TableHeading"/>
              <w:pBdr>
                <w:bottom w:val="none" w:sz="0" w:space="0" w:color="auto"/>
              </w:pBdr>
              <w:ind w:right="0"/>
              <w:jc w:val="left"/>
              <w:rPr>
                <w:iCs/>
                <w:smallCaps w:val="0"/>
                <w:spacing w:val="0"/>
                <w:w w:val="100"/>
              </w:rPr>
            </w:pPr>
            <w:r>
              <w:rPr>
                <w:rFonts w:eastAsia="Cambria"/>
                <w:iCs/>
                <w:smallCaps w:val="0"/>
                <w:spacing w:val="0"/>
                <w:w w:val="100"/>
              </w:rPr>
              <w:t>4,914</w:t>
            </w:r>
          </w:p>
        </w:tc>
        <w:tc>
          <w:tcPr>
            <w:tcW w:w="2493" w:type="dxa"/>
            <w:tcBorders>
              <w:top w:val="single" w:sz="4" w:space="0" w:color="auto"/>
              <w:left w:val="nil"/>
              <w:bottom w:val="nil"/>
              <w:right w:val="nil"/>
            </w:tcBorders>
            <w:vAlign w:val="bottom"/>
          </w:tcPr>
          <w:p w14:paraId="704EF088" w14:textId="0869E243" w:rsidR="00452443" w:rsidRDefault="006E3728" w:rsidP="00E86479">
            <w:pPr>
              <w:pStyle w:val="TableHeading"/>
              <w:pBdr>
                <w:bottom w:val="none" w:sz="0" w:space="0" w:color="auto"/>
              </w:pBdr>
              <w:ind w:right="0"/>
              <w:jc w:val="left"/>
              <w:rPr>
                <w:iCs/>
                <w:smallCaps w:val="0"/>
                <w:spacing w:val="0"/>
                <w:w w:val="100"/>
              </w:rPr>
            </w:pPr>
            <w:r>
              <w:rPr>
                <w:rFonts w:eastAsia="Cambria"/>
                <w:iCs/>
                <w:smallCaps w:val="0"/>
                <w:spacing w:val="0"/>
                <w:w w:val="100"/>
              </w:rPr>
              <w:t>Three times per-capita GDP</w:t>
            </w:r>
          </w:p>
        </w:tc>
        <w:tc>
          <w:tcPr>
            <w:tcW w:w="2179" w:type="dxa"/>
            <w:tcBorders>
              <w:top w:val="single" w:sz="4" w:space="0" w:color="auto"/>
              <w:left w:val="nil"/>
              <w:bottom w:val="nil"/>
              <w:right w:val="nil"/>
            </w:tcBorders>
            <w:vAlign w:val="bottom"/>
          </w:tcPr>
          <w:p w14:paraId="1F6E9549" w14:textId="1C37B496" w:rsidR="00452443" w:rsidRDefault="00E86479" w:rsidP="00E16326">
            <w:pPr>
              <w:pStyle w:val="TableHeading"/>
              <w:pBdr>
                <w:bottom w:val="none" w:sz="0" w:space="0" w:color="auto"/>
              </w:pBdr>
              <w:ind w:right="0"/>
              <w:rPr>
                <w:iCs/>
                <w:smallCaps w:val="0"/>
                <w:spacing w:val="0"/>
                <w:w w:val="100"/>
              </w:rPr>
            </w:pPr>
            <w:r>
              <w:rPr>
                <w:rFonts w:eastAsia="Cambria"/>
                <w:iCs/>
                <w:smallCaps w:val="0"/>
                <w:spacing w:val="0"/>
                <w:w w:val="100"/>
              </w:rPr>
              <w:t>2.035e-4</w:t>
            </w:r>
          </w:p>
        </w:tc>
        <w:tc>
          <w:tcPr>
            <w:tcW w:w="2348" w:type="dxa"/>
            <w:tcBorders>
              <w:top w:val="single" w:sz="4" w:space="0" w:color="auto"/>
              <w:left w:val="nil"/>
              <w:bottom w:val="nil"/>
              <w:right w:val="nil"/>
            </w:tcBorders>
            <w:vAlign w:val="bottom"/>
          </w:tcPr>
          <w:p w14:paraId="7061D015" w14:textId="4EEBB85C" w:rsidR="00452443" w:rsidRDefault="00AA69E1" w:rsidP="00E16326">
            <w:pPr>
              <w:pStyle w:val="TableHeading"/>
              <w:pBdr>
                <w:bottom w:val="none" w:sz="0" w:space="0" w:color="auto"/>
              </w:pBdr>
              <w:ind w:right="0"/>
              <w:rPr>
                <w:iCs/>
                <w:smallCaps w:val="0"/>
                <w:spacing w:val="0"/>
                <w:w w:val="100"/>
              </w:rPr>
            </w:pPr>
            <w:r>
              <w:rPr>
                <w:iCs/>
                <w:smallCaps w:val="0"/>
                <w:spacing w:val="0"/>
                <w:w w:val="100"/>
              </w:rPr>
              <w:t>0.5%</w:t>
            </w:r>
          </w:p>
        </w:tc>
      </w:tr>
      <w:tr w:rsidR="00035007" w14:paraId="48BCF4FD" w14:textId="77777777" w:rsidTr="00E16326">
        <w:tc>
          <w:tcPr>
            <w:tcW w:w="2340" w:type="dxa"/>
            <w:tcBorders>
              <w:top w:val="nil"/>
              <w:left w:val="nil"/>
              <w:bottom w:val="nil"/>
              <w:right w:val="nil"/>
            </w:tcBorders>
          </w:tcPr>
          <w:p w14:paraId="76FEB40E" w14:textId="6233D68C" w:rsidR="00452443" w:rsidRPr="00F844D5" w:rsidRDefault="006E3728" w:rsidP="00E16326">
            <w:pPr>
              <w:pStyle w:val="TableHeading"/>
              <w:pBdr>
                <w:bottom w:val="none" w:sz="0" w:space="0" w:color="auto"/>
              </w:pBdr>
              <w:ind w:right="0"/>
              <w:jc w:val="left"/>
              <w:rPr>
                <w:rFonts w:eastAsia="Cambria"/>
                <w:iCs/>
                <w:smallCaps w:val="0"/>
                <w:spacing w:val="0"/>
                <w:w w:val="100"/>
              </w:rPr>
            </w:pPr>
            <w:r>
              <w:rPr>
                <w:rFonts w:eastAsia="Cambria"/>
                <w:iCs/>
                <w:smallCaps w:val="0"/>
                <w:spacing w:val="0"/>
                <w:w w:val="100"/>
              </w:rPr>
              <w:t>1,638</w:t>
            </w:r>
          </w:p>
        </w:tc>
        <w:tc>
          <w:tcPr>
            <w:tcW w:w="2493" w:type="dxa"/>
            <w:tcBorders>
              <w:top w:val="nil"/>
              <w:left w:val="nil"/>
              <w:bottom w:val="nil"/>
              <w:right w:val="nil"/>
            </w:tcBorders>
          </w:tcPr>
          <w:p w14:paraId="244E6A69" w14:textId="13945FDB" w:rsidR="00452443" w:rsidRPr="00F844D5" w:rsidRDefault="006E3728" w:rsidP="00E86479">
            <w:pPr>
              <w:pStyle w:val="TableHeading"/>
              <w:pBdr>
                <w:bottom w:val="none" w:sz="0" w:space="0" w:color="auto"/>
              </w:pBdr>
              <w:ind w:right="0"/>
              <w:jc w:val="left"/>
              <w:rPr>
                <w:rFonts w:eastAsia="Cambria"/>
                <w:iCs/>
                <w:smallCaps w:val="0"/>
                <w:spacing w:val="0"/>
                <w:w w:val="100"/>
              </w:rPr>
            </w:pPr>
            <w:r>
              <w:rPr>
                <w:iCs/>
                <w:smallCaps w:val="0"/>
                <w:spacing w:val="0"/>
                <w:w w:val="100"/>
              </w:rPr>
              <w:t>Per-capita GDP</w:t>
            </w:r>
          </w:p>
        </w:tc>
        <w:tc>
          <w:tcPr>
            <w:tcW w:w="2179" w:type="dxa"/>
            <w:tcBorders>
              <w:top w:val="nil"/>
              <w:left w:val="nil"/>
              <w:bottom w:val="nil"/>
              <w:right w:val="nil"/>
            </w:tcBorders>
          </w:tcPr>
          <w:p w14:paraId="6F54F238" w14:textId="4B249624" w:rsidR="00452443" w:rsidRPr="00F844D5" w:rsidRDefault="00E86479" w:rsidP="00E16326">
            <w:pPr>
              <w:pStyle w:val="TableHeading"/>
              <w:pBdr>
                <w:bottom w:val="none" w:sz="0" w:space="0" w:color="auto"/>
              </w:pBdr>
              <w:ind w:right="0"/>
              <w:rPr>
                <w:rFonts w:eastAsia="Cambria"/>
                <w:iCs/>
                <w:smallCaps w:val="0"/>
                <w:spacing w:val="0"/>
                <w:w w:val="100"/>
              </w:rPr>
            </w:pPr>
            <w:r>
              <w:rPr>
                <w:rFonts w:eastAsia="Cambria"/>
                <w:iCs/>
                <w:smallCaps w:val="0"/>
                <w:spacing w:val="0"/>
                <w:w w:val="100"/>
              </w:rPr>
              <w:t>6.105e-4</w:t>
            </w:r>
          </w:p>
        </w:tc>
        <w:tc>
          <w:tcPr>
            <w:tcW w:w="2348" w:type="dxa"/>
            <w:tcBorders>
              <w:top w:val="nil"/>
              <w:left w:val="nil"/>
              <w:bottom w:val="nil"/>
              <w:right w:val="nil"/>
            </w:tcBorders>
          </w:tcPr>
          <w:p w14:paraId="28DD3167" w14:textId="1830151E" w:rsidR="00452443" w:rsidRPr="00F844D5" w:rsidRDefault="00AA69E1" w:rsidP="00E16326">
            <w:pPr>
              <w:pStyle w:val="TableHeading"/>
              <w:pBdr>
                <w:bottom w:val="none" w:sz="0" w:space="0" w:color="auto"/>
              </w:pBdr>
              <w:ind w:right="0"/>
              <w:rPr>
                <w:rFonts w:eastAsia="Cambria"/>
                <w:iCs/>
                <w:smallCaps w:val="0"/>
                <w:spacing w:val="0"/>
                <w:w w:val="100"/>
              </w:rPr>
            </w:pPr>
            <w:r>
              <w:rPr>
                <w:iCs/>
                <w:smallCaps w:val="0"/>
                <w:spacing w:val="0"/>
                <w:w w:val="100"/>
              </w:rPr>
              <w:t>1.5%</w:t>
            </w:r>
          </w:p>
        </w:tc>
      </w:tr>
      <w:tr w:rsidR="00E16326" w14:paraId="4FAF1F55" w14:textId="77777777" w:rsidTr="00E16326">
        <w:tc>
          <w:tcPr>
            <w:tcW w:w="2340" w:type="dxa"/>
            <w:tcBorders>
              <w:top w:val="nil"/>
              <w:left w:val="nil"/>
              <w:bottom w:val="nil"/>
              <w:right w:val="nil"/>
            </w:tcBorders>
          </w:tcPr>
          <w:p w14:paraId="02F49EAC" w14:textId="7D0B75B5" w:rsidR="00E16326" w:rsidRDefault="006E3728" w:rsidP="00E16326">
            <w:pPr>
              <w:pStyle w:val="TableHeading"/>
              <w:pBdr>
                <w:bottom w:val="none" w:sz="0" w:space="0" w:color="auto"/>
              </w:pBdr>
              <w:ind w:right="0"/>
              <w:jc w:val="left"/>
              <w:rPr>
                <w:iCs/>
                <w:smallCaps w:val="0"/>
                <w:spacing w:val="0"/>
                <w:w w:val="100"/>
              </w:rPr>
            </w:pPr>
            <w:r>
              <w:rPr>
                <w:iCs/>
                <w:smallCaps w:val="0"/>
                <w:spacing w:val="0"/>
                <w:w w:val="100"/>
              </w:rPr>
              <w:t>1,000</w:t>
            </w:r>
          </w:p>
        </w:tc>
        <w:tc>
          <w:tcPr>
            <w:tcW w:w="2493" w:type="dxa"/>
            <w:tcBorders>
              <w:top w:val="nil"/>
              <w:left w:val="nil"/>
              <w:bottom w:val="nil"/>
              <w:right w:val="nil"/>
            </w:tcBorders>
          </w:tcPr>
          <w:p w14:paraId="7D77E43A" w14:textId="04FD40F1" w:rsidR="00E16326" w:rsidRDefault="00E86479" w:rsidP="00E86479">
            <w:pPr>
              <w:pStyle w:val="TableHeading"/>
              <w:pBdr>
                <w:bottom w:val="none" w:sz="0" w:space="0" w:color="auto"/>
              </w:pBdr>
              <w:ind w:right="0"/>
              <w:jc w:val="left"/>
              <w:rPr>
                <w:iCs/>
                <w:smallCaps w:val="0"/>
                <w:spacing w:val="0"/>
                <w:w w:val="100"/>
              </w:rPr>
            </w:pPr>
            <w:r>
              <w:rPr>
                <w:iCs/>
                <w:smallCaps w:val="0"/>
                <w:spacing w:val="0"/>
                <w:w w:val="100"/>
              </w:rPr>
              <w:t>High</w:t>
            </w:r>
            <w:r w:rsidR="006F282A">
              <w:rPr>
                <w:iCs/>
                <w:smallCaps w:val="0"/>
                <w:spacing w:val="0"/>
                <w:w w:val="100"/>
              </w:rPr>
              <w:t>er</w:t>
            </w:r>
            <w:r>
              <w:rPr>
                <w:iCs/>
                <w:smallCaps w:val="0"/>
                <w:spacing w:val="0"/>
                <w:w w:val="100"/>
              </w:rPr>
              <w:t xml:space="preserve"> r</w:t>
            </w:r>
            <w:r w:rsidR="006E3728">
              <w:rPr>
                <w:iCs/>
                <w:smallCaps w:val="0"/>
                <w:spacing w:val="0"/>
                <w:w w:val="100"/>
              </w:rPr>
              <w:t>ound figure</w:t>
            </w:r>
          </w:p>
        </w:tc>
        <w:tc>
          <w:tcPr>
            <w:tcW w:w="2179" w:type="dxa"/>
            <w:tcBorders>
              <w:top w:val="nil"/>
              <w:left w:val="nil"/>
              <w:bottom w:val="nil"/>
              <w:right w:val="nil"/>
            </w:tcBorders>
          </w:tcPr>
          <w:p w14:paraId="7B7B8AAB" w14:textId="27DA6925" w:rsidR="00E16326" w:rsidRDefault="00E86479" w:rsidP="00E16326">
            <w:pPr>
              <w:pStyle w:val="TableHeading"/>
              <w:pBdr>
                <w:bottom w:val="none" w:sz="0" w:space="0" w:color="auto"/>
              </w:pBdr>
              <w:ind w:right="0"/>
              <w:rPr>
                <w:iCs/>
                <w:smallCaps w:val="0"/>
                <w:spacing w:val="0"/>
                <w:w w:val="100"/>
              </w:rPr>
            </w:pPr>
            <w:r>
              <w:rPr>
                <w:iCs/>
                <w:smallCaps w:val="0"/>
                <w:spacing w:val="0"/>
                <w:w w:val="100"/>
              </w:rPr>
              <w:t>1.000e-3</w:t>
            </w:r>
          </w:p>
        </w:tc>
        <w:tc>
          <w:tcPr>
            <w:tcW w:w="2348" w:type="dxa"/>
            <w:tcBorders>
              <w:top w:val="nil"/>
              <w:left w:val="nil"/>
              <w:bottom w:val="nil"/>
              <w:right w:val="nil"/>
            </w:tcBorders>
          </w:tcPr>
          <w:p w14:paraId="4D83ADCB" w14:textId="79D88734" w:rsidR="00E16326" w:rsidRDefault="00AA69E1" w:rsidP="00E16326">
            <w:pPr>
              <w:pStyle w:val="TableHeading"/>
              <w:pBdr>
                <w:bottom w:val="none" w:sz="0" w:space="0" w:color="auto"/>
              </w:pBdr>
              <w:ind w:right="0"/>
              <w:rPr>
                <w:iCs/>
                <w:smallCaps w:val="0"/>
                <w:spacing w:val="0"/>
                <w:w w:val="100"/>
              </w:rPr>
            </w:pPr>
            <w:r>
              <w:rPr>
                <w:iCs/>
                <w:smallCaps w:val="0"/>
                <w:spacing w:val="0"/>
                <w:w w:val="100"/>
              </w:rPr>
              <w:t>2.5%</w:t>
            </w:r>
          </w:p>
        </w:tc>
      </w:tr>
      <w:tr w:rsidR="00E16326" w14:paraId="1AA6130C" w14:textId="77777777" w:rsidTr="00E16326">
        <w:tc>
          <w:tcPr>
            <w:tcW w:w="2340" w:type="dxa"/>
            <w:tcBorders>
              <w:top w:val="nil"/>
              <w:left w:val="nil"/>
              <w:bottom w:val="nil"/>
              <w:right w:val="nil"/>
            </w:tcBorders>
          </w:tcPr>
          <w:p w14:paraId="453E8074" w14:textId="4DD52A22" w:rsidR="00E16326" w:rsidRDefault="006E3728" w:rsidP="00E16326">
            <w:pPr>
              <w:pStyle w:val="TableHeading"/>
              <w:pBdr>
                <w:bottom w:val="none" w:sz="0" w:space="0" w:color="auto"/>
              </w:pBdr>
              <w:ind w:right="0"/>
              <w:jc w:val="left"/>
              <w:rPr>
                <w:iCs/>
                <w:smallCaps w:val="0"/>
                <w:spacing w:val="0"/>
                <w:w w:val="100"/>
              </w:rPr>
            </w:pPr>
            <w:r>
              <w:rPr>
                <w:iCs/>
                <w:smallCaps w:val="0"/>
                <w:spacing w:val="0"/>
                <w:w w:val="100"/>
              </w:rPr>
              <w:t>500</w:t>
            </w:r>
          </w:p>
        </w:tc>
        <w:tc>
          <w:tcPr>
            <w:tcW w:w="2493" w:type="dxa"/>
            <w:tcBorders>
              <w:top w:val="nil"/>
              <w:left w:val="nil"/>
              <w:bottom w:val="nil"/>
              <w:right w:val="nil"/>
            </w:tcBorders>
          </w:tcPr>
          <w:p w14:paraId="09D2C32D" w14:textId="09CC6BC6" w:rsidR="00E16326" w:rsidRDefault="003D6EAB" w:rsidP="00E86479">
            <w:pPr>
              <w:pStyle w:val="TableHeading"/>
              <w:pBdr>
                <w:bottom w:val="none" w:sz="0" w:space="0" w:color="auto"/>
              </w:pBdr>
              <w:ind w:right="0"/>
              <w:jc w:val="left"/>
              <w:rPr>
                <w:iCs/>
                <w:smallCaps w:val="0"/>
                <w:spacing w:val="0"/>
                <w:w w:val="100"/>
              </w:rPr>
            </w:pPr>
            <w:r>
              <w:rPr>
                <w:iCs/>
                <w:smallCaps w:val="0"/>
                <w:spacing w:val="0"/>
                <w:w w:val="100"/>
              </w:rPr>
              <w:t xml:space="preserve">Medium </w:t>
            </w:r>
            <w:r w:rsidR="00E86479">
              <w:rPr>
                <w:iCs/>
                <w:smallCaps w:val="0"/>
                <w:spacing w:val="0"/>
                <w:w w:val="100"/>
              </w:rPr>
              <w:t>r</w:t>
            </w:r>
            <w:r w:rsidR="006E3728">
              <w:rPr>
                <w:iCs/>
                <w:smallCaps w:val="0"/>
                <w:spacing w:val="0"/>
                <w:w w:val="100"/>
              </w:rPr>
              <w:t>ound figure</w:t>
            </w:r>
          </w:p>
        </w:tc>
        <w:tc>
          <w:tcPr>
            <w:tcW w:w="2179" w:type="dxa"/>
            <w:tcBorders>
              <w:top w:val="nil"/>
              <w:left w:val="nil"/>
              <w:bottom w:val="nil"/>
              <w:right w:val="nil"/>
            </w:tcBorders>
          </w:tcPr>
          <w:p w14:paraId="75965170" w14:textId="6E70F024" w:rsidR="00E16326" w:rsidRDefault="00E86479" w:rsidP="00E16326">
            <w:pPr>
              <w:pStyle w:val="TableHeading"/>
              <w:pBdr>
                <w:bottom w:val="none" w:sz="0" w:space="0" w:color="auto"/>
              </w:pBdr>
              <w:ind w:right="0"/>
              <w:rPr>
                <w:iCs/>
                <w:smallCaps w:val="0"/>
                <w:spacing w:val="0"/>
                <w:w w:val="100"/>
              </w:rPr>
            </w:pPr>
            <w:r>
              <w:rPr>
                <w:iCs/>
                <w:smallCaps w:val="0"/>
                <w:spacing w:val="0"/>
                <w:w w:val="100"/>
              </w:rPr>
              <w:t>2.000e-3</w:t>
            </w:r>
          </w:p>
        </w:tc>
        <w:tc>
          <w:tcPr>
            <w:tcW w:w="2348" w:type="dxa"/>
            <w:tcBorders>
              <w:top w:val="nil"/>
              <w:left w:val="nil"/>
              <w:bottom w:val="nil"/>
              <w:right w:val="nil"/>
            </w:tcBorders>
          </w:tcPr>
          <w:p w14:paraId="22BF2974" w14:textId="40D56793" w:rsidR="00E16326" w:rsidRDefault="00AA69E1" w:rsidP="00E16326">
            <w:pPr>
              <w:pStyle w:val="TableHeading"/>
              <w:pBdr>
                <w:bottom w:val="none" w:sz="0" w:space="0" w:color="auto"/>
              </w:pBdr>
              <w:ind w:right="0"/>
              <w:rPr>
                <w:iCs/>
                <w:smallCaps w:val="0"/>
                <w:spacing w:val="0"/>
                <w:w w:val="100"/>
              </w:rPr>
            </w:pPr>
            <w:r>
              <w:rPr>
                <w:iCs/>
                <w:smallCaps w:val="0"/>
                <w:spacing w:val="0"/>
                <w:w w:val="100"/>
              </w:rPr>
              <w:t>5.4%</w:t>
            </w:r>
          </w:p>
        </w:tc>
      </w:tr>
      <w:tr w:rsidR="005E5D86" w14:paraId="6241FDA5" w14:textId="77777777" w:rsidTr="00E16326">
        <w:trPr>
          <w:trHeight w:val="245"/>
        </w:trPr>
        <w:tc>
          <w:tcPr>
            <w:tcW w:w="2340" w:type="dxa"/>
            <w:tcBorders>
              <w:top w:val="nil"/>
              <w:left w:val="nil"/>
              <w:bottom w:val="single" w:sz="4" w:space="0" w:color="auto"/>
              <w:right w:val="nil"/>
            </w:tcBorders>
          </w:tcPr>
          <w:p w14:paraId="140F6D12" w14:textId="4CB1CD00" w:rsidR="005E5D86" w:rsidRPr="00F844D5" w:rsidRDefault="003D6EAB" w:rsidP="00E16326">
            <w:pPr>
              <w:pStyle w:val="TableHeading"/>
              <w:pBdr>
                <w:bottom w:val="none" w:sz="0" w:space="0" w:color="auto"/>
              </w:pBdr>
              <w:ind w:right="0"/>
              <w:jc w:val="left"/>
              <w:rPr>
                <w:iCs/>
                <w:smallCaps w:val="0"/>
                <w:spacing w:val="0"/>
                <w:w w:val="100"/>
              </w:rPr>
            </w:pPr>
            <w:r>
              <w:rPr>
                <w:iCs/>
                <w:smallCaps w:val="0"/>
                <w:spacing w:val="0"/>
                <w:w w:val="100"/>
              </w:rPr>
              <w:t>150</w:t>
            </w:r>
          </w:p>
        </w:tc>
        <w:tc>
          <w:tcPr>
            <w:tcW w:w="2493" w:type="dxa"/>
            <w:tcBorders>
              <w:top w:val="nil"/>
              <w:left w:val="nil"/>
              <w:bottom w:val="single" w:sz="4" w:space="0" w:color="auto"/>
              <w:right w:val="nil"/>
            </w:tcBorders>
          </w:tcPr>
          <w:p w14:paraId="2ED8193E" w14:textId="4D2983CA" w:rsidR="003D6EAB" w:rsidRPr="00101C7D" w:rsidRDefault="003D6EAB" w:rsidP="00E86479">
            <w:pPr>
              <w:pStyle w:val="TableHeading"/>
              <w:pBdr>
                <w:bottom w:val="none" w:sz="0" w:space="0" w:color="auto"/>
              </w:pBdr>
              <w:ind w:right="0"/>
              <w:jc w:val="left"/>
              <w:rPr>
                <w:rFonts w:eastAsia="Cambria"/>
                <w:iCs/>
                <w:smallCaps w:val="0"/>
                <w:spacing w:val="0"/>
                <w:w w:val="100"/>
              </w:rPr>
            </w:pPr>
            <w:r>
              <w:rPr>
                <w:rFonts w:eastAsia="Cambria"/>
                <w:iCs/>
                <w:smallCaps w:val="0"/>
                <w:spacing w:val="0"/>
                <w:w w:val="100"/>
              </w:rPr>
              <w:t>Lower round figure</w:t>
            </w:r>
          </w:p>
        </w:tc>
        <w:tc>
          <w:tcPr>
            <w:tcW w:w="2179" w:type="dxa"/>
            <w:tcBorders>
              <w:top w:val="nil"/>
              <w:left w:val="nil"/>
              <w:bottom w:val="single" w:sz="4" w:space="0" w:color="auto"/>
              <w:right w:val="nil"/>
            </w:tcBorders>
          </w:tcPr>
          <w:p w14:paraId="334D20DD" w14:textId="3A549B0C" w:rsidR="005E5D86" w:rsidRPr="00F844D5" w:rsidRDefault="005E5D86" w:rsidP="00E16326">
            <w:pPr>
              <w:pStyle w:val="TableHeading"/>
              <w:pBdr>
                <w:bottom w:val="none" w:sz="0" w:space="0" w:color="auto"/>
              </w:pBdr>
              <w:ind w:right="0"/>
              <w:rPr>
                <w:iCs/>
                <w:smallCaps w:val="0"/>
                <w:spacing w:val="0"/>
                <w:w w:val="100"/>
              </w:rPr>
            </w:pPr>
            <w:r>
              <w:rPr>
                <w:iCs/>
                <w:smallCaps w:val="0"/>
                <w:spacing w:val="0"/>
                <w:w w:val="100"/>
              </w:rPr>
              <w:t>6.</w:t>
            </w:r>
            <w:r w:rsidR="003D6EAB">
              <w:rPr>
                <w:iCs/>
                <w:smallCaps w:val="0"/>
                <w:spacing w:val="0"/>
                <w:w w:val="100"/>
              </w:rPr>
              <w:t>667e</w:t>
            </w:r>
            <w:r>
              <w:rPr>
                <w:iCs/>
                <w:smallCaps w:val="0"/>
                <w:spacing w:val="0"/>
                <w:w w:val="100"/>
              </w:rPr>
              <w:t>-3</w:t>
            </w:r>
          </w:p>
        </w:tc>
        <w:tc>
          <w:tcPr>
            <w:tcW w:w="2348" w:type="dxa"/>
            <w:tcBorders>
              <w:top w:val="nil"/>
              <w:left w:val="nil"/>
              <w:bottom w:val="single" w:sz="4" w:space="0" w:color="auto"/>
              <w:right w:val="nil"/>
            </w:tcBorders>
          </w:tcPr>
          <w:p w14:paraId="30F280BF" w14:textId="31D77E95" w:rsidR="005E5D86" w:rsidRPr="00F844D5" w:rsidRDefault="005E5D86" w:rsidP="00E16326">
            <w:pPr>
              <w:pStyle w:val="TableHeading"/>
              <w:pBdr>
                <w:bottom w:val="none" w:sz="0" w:space="0" w:color="auto"/>
              </w:pBdr>
              <w:ind w:right="0"/>
              <w:rPr>
                <w:iCs/>
                <w:smallCaps w:val="0"/>
                <w:spacing w:val="0"/>
                <w:w w:val="100"/>
              </w:rPr>
            </w:pPr>
            <w:r>
              <w:rPr>
                <w:rFonts w:eastAsia="Cambria"/>
                <w:iCs/>
                <w:smallCaps w:val="0"/>
                <w:spacing w:val="0"/>
                <w:w w:val="100"/>
              </w:rPr>
              <w:t>25.4%</w:t>
            </w:r>
          </w:p>
        </w:tc>
      </w:tr>
    </w:tbl>
    <w:p w14:paraId="3AEBB976" w14:textId="180F1D3A" w:rsidR="006F282A" w:rsidRPr="0099628A" w:rsidRDefault="006F282A" w:rsidP="006F282A">
      <w:pPr>
        <w:pStyle w:val="TableNotes"/>
      </w:pPr>
      <w:r>
        <w:rPr>
          <w:i/>
          <w:iCs/>
        </w:rPr>
        <w:t>Notes:</w:t>
      </w:r>
      <w:r>
        <w:t xml:space="preserve"> The first column contains a range of cost-effectiveness measures for alternative interventions. The second column provides rationales for entries in the first column. The third column is the reciprocal of the first. The last column substitutes the third column into expression (5). In the first row, three times per-capita GDP is the WHO threshold for a cost-effective intervention. In the second row, one times per-capita GDP is the WHO standard for a highly cost-effective intervention. Per-capita GDP is that of GAVI-eligible countries</w:t>
      </w:r>
      <w:r w:rsidR="00AD43AC">
        <w:t xml:space="preserve"> and is measured in 2009, the year of AMC launch</w:t>
      </w:r>
      <w:r>
        <w:t xml:space="preserve">. </w:t>
      </w:r>
    </w:p>
    <w:p w14:paraId="7140A66D" w14:textId="48FC66CA" w:rsidR="0092349D" w:rsidRDefault="00452443" w:rsidP="00452443">
      <w:pPr>
        <w:pStyle w:val="TableNotes"/>
      </w:pPr>
      <w:r w:rsidRPr="005647E7">
        <w:rPr>
          <w:i/>
          <w:iCs/>
        </w:rPr>
        <w:t>Source</w:t>
      </w:r>
      <w:r>
        <w:rPr>
          <w:i/>
          <w:iCs/>
        </w:rPr>
        <w:t>s</w:t>
      </w:r>
      <w:r w:rsidRPr="005647E7">
        <w:rPr>
          <w:i/>
          <w:iCs/>
        </w:rPr>
        <w:t>:</w:t>
      </w:r>
      <w:r>
        <w:t xml:space="preserve"> </w:t>
      </w:r>
      <w:r w:rsidR="00FC7C8D">
        <w:t xml:space="preserve">GDP </w:t>
      </w:r>
      <w:r w:rsidR="00AD43AC">
        <w:t xml:space="preserve">figures taken </w:t>
      </w:r>
      <w:r w:rsidR="00FC7C8D">
        <w:t>fro</w:t>
      </w:r>
      <w:r w:rsidR="0092349D">
        <w:rPr>
          <w:rFonts w:hint="eastAsia"/>
          <w:lang w:eastAsia="zh-CN"/>
        </w:rPr>
        <w:t>m</w:t>
      </w:r>
      <w:r w:rsidR="0092349D">
        <w:t xml:space="preserve"> </w:t>
      </w:r>
      <w:r w:rsidR="0092349D" w:rsidRPr="0092349D">
        <w:t>World Bank, International Comparison Program database.</w:t>
      </w:r>
    </w:p>
    <w:p w14:paraId="3D792D23" w14:textId="4113EFEF" w:rsidR="00391E57" w:rsidRDefault="00391E57" w:rsidP="00391E57">
      <w:pPr>
        <w:rPr>
          <w:rFonts w:eastAsia="Calibri"/>
        </w:rPr>
      </w:pPr>
    </w:p>
    <w:p w14:paraId="34E886A8" w14:textId="1267E2B0" w:rsidR="00865E4A" w:rsidRDefault="00865E4A" w:rsidP="00391E57">
      <w:pPr>
        <w:rPr>
          <w:rFonts w:eastAsia="Calibri"/>
        </w:rPr>
      </w:pPr>
      <w:r>
        <w:rPr>
          <w:rFonts w:eastAsia="Calibri"/>
        </w:rPr>
        <w:t>The second row assumes the cost of saving a DALY thorough alternative means is $1,638, equal to per-capita GDP</w:t>
      </w:r>
      <w:r w:rsidR="00823590">
        <w:rPr>
          <w:rFonts w:eastAsia="Calibri"/>
        </w:rPr>
        <w:t xml:space="preserve"> in GAVI countries, the WHO standard for a highly cost-effective intervention.</w:t>
      </w:r>
      <w:r>
        <w:rPr>
          <w:rFonts w:eastAsia="Calibri"/>
        </w:rPr>
        <w:t xml:space="preserve"> </w:t>
      </w:r>
      <w:r w:rsidR="00823590">
        <w:rPr>
          <w:rFonts w:eastAsia="Calibri"/>
        </w:rPr>
        <w:t xml:space="preserve">With this opportunity cost, the designer would prefer the </w:t>
      </w:r>
      <m:oMath>
        <m:sSub>
          <m:sSubPr>
            <m:ctrlPr>
              <w:rPr>
                <w:rFonts w:ascii="Cambria Math" w:eastAsia="Calibri" w:hAnsi="Cambria Math"/>
                <w:i/>
              </w:rPr>
            </m:ctrlPr>
          </m:sSubPr>
          <m:e>
            <m:r>
              <w:rPr>
                <w:rFonts w:ascii="Cambria Math" w:eastAsia="Calibri" w:hAnsi="Cambria Math"/>
              </w:rPr>
              <m:t>p</m:t>
            </m:r>
          </m:e>
          <m:sub>
            <m:r>
              <w:rPr>
                <w:rFonts w:ascii="Cambria Math" w:eastAsia="Calibri" w:hAnsi="Cambria Math"/>
              </w:rPr>
              <m:t>1</m:t>
            </m:r>
          </m:sub>
        </m:sSub>
        <m:r>
          <w:rPr>
            <w:rFonts w:ascii="Cambria Math" w:eastAsia="Calibri" w:hAnsi="Cambria Math"/>
          </w:rPr>
          <m:t>=$2.00</m:t>
        </m:r>
      </m:oMath>
      <w:r w:rsidR="008E1221">
        <w:rPr>
          <w:rFonts w:eastAsia="Calibri"/>
        </w:rPr>
        <w:t xml:space="preserve"> </w:t>
      </w:r>
      <w:r w:rsidR="00823590">
        <w:rPr>
          <w:rFonts w:eastAsia="Calibri"/>
        </w:rPr>
        <w:t xml:space="preserve">price only if the </w:t>
      </w:r>
      <w:r w:rsidR="00C31CA7">
        <w:rPr>
          <w:rFonts w:eastAsia="Calibri"/>
        </w:rPr>
        <w:t xml:space="preserve">failure rate were </w:t>
      </w:r>
      <w:r w:rsidR="00823590">
        <w:rPr>
          <w:rFonts w:eastAsia="Calibri"/>
        </w:rPr>
        <w:t xml:space="preserve">no </w:t>
      </w:r>
      <w:r w:rsidR="00C31CA7">
        <w:rPr>
          <w:rFonts w:eastAsia="Calibri"/>
        </w:rPr>
        <w:t xml:space="preserve">greater </w:t>
      </w:r>
      <w:r w:rsidR="00823590">
        <w:rPr>
          <w:rFonts w:eastAsia="Calibri"/>
        </w:rPr>
        <w:t xml:space="preserve">than </w:t>
      </w:r>
      <m:oMath>
        <m:sSub>
          <m:sSubPr>
            <m:ctrlPr>
              <w:rPr>
                <w:rFonts w:ascii="Cambria Math" w:hAnsi="Cambria Math"/>
                <w:i/>
              </w:rPr>
            </m:ctrlPr>
          </m:sSubPr>
          <m:e>
            <m:acc>
              <m:accPr>
                <m:ctrlPr>
                  <w:rPr>
                    <w:rFonts w:ascii="Cambria Math" w:hAnsi="Cambria Math"/>
                    <w:i/>
                  </w:rPr>
                </m:ctrlPr>
              </m:accPr>
              <m:e>
                <m:r>
                  <w:rPr>
                    <w:rFonts w:ascii="Cambria Math" w:hAnsi="Cambria Math"/>
                  </w:rPr>
                  <m:t>f</m:t>
                </m:r>
              </m:e>
            </m:acc>
          </m:e>
          <m:sub>
            <m:r>
              <w:rPr>
                <w:rFonts w:ascii="Cambria Math" w:hAnsi="Cambria Math"/>
              </w:rPr>
              <m:t>1</m:t>
            </m:r>
          </m:sub>
        </m:sSub>
        <m:r>
          <w:rPr>
            <w:rFonts w:ascii="Cambria Math" w:hAnsi="Cambria Math"/>
          </w:rPr>
          <m:t>=1.5%</m:t>
        </m:r>
      </m:oMath>
      <w:r w:rsidR="00823590">
        <w:rPr>
          <w:rFonts w:eastAsia="Calibri"/>
        </w:rPr>
        <w:t xml:space="preserve">. </w:t>
      </w:r>
    </w:p>
    <w:p w14:paraId="7E05C265" w14:textId="7B2DF81B" w:rsidR="00823590" w:rsidRDefault="00823590" w:rsidP="00391E57">
      <w:pPr>
        <w:rPr>
          <w:rFonts w:eastAsia="Calibri"/>
        </w:rPr>
      </w:pPr>
      <w:r>
        <w:rPr>
          <w:rFonts w:eastAsia="Calibri"/>
        </w:rPr>
        <w:t xml:space="preserve">As the alternative becomes more and more cost effective, the designer requires less and less certain participation to prefer the lower price. The </w:t>
      </w:r>
      <w:r w:rsidR="00AB782A">
        <w:rPr>
          <w:rFonts w:eastAsia="Calibri"/>
        </w:rPr>
        <w:t>$1,000</w:t>
      </w:r>
      <w:r w:rsidR="003D6EAB">
        <w:rPr>
          <w:rFonts w:eastAsia="Calibri"/>
        </w:rPr>
        <w:t>,</w:t>
      </w:r>
      <w:r w:rsidR="00AB782A">
        <w:rPr>
          <w:rFonts w:eastAsia="Calibri"/>
        </w:rPr>
        <w:t xml:space="preserve"> $500</w:t>
      </w:r>
      <w:r w:rsidR="006F282A">
        <w:rPr>
          <w:rFonts w:eastAsia="Calibri"/>
        </w:rPr>
        <w:t>,</w:t>
      </w:r>
      <w:r w:rsidR="00AB782A">
        <w:rPr>
          <w:rFonts w:eastAsia="Calibri"/>
        </w:rPr>
        <w:t xml:space="preserve"> </w:t>
      </w:r>
      <w:r w:rsidR="003D6EAB">
        <w:rPr>
          <w:rFonts w:eastAsia="Calibri"/>
        </w:rPr>
        <w:t xml:space="preserve">and $150 </w:t>
      </w:r>
      <w:r w:rsidR="00AB782A">
        <w:rPr>
          <w:rFonts w:eastAsia="Calibri"/>
        </w:rPr>
        <w:t>are round figures for cost effectiveness that trace out a range of possibilities.</w:t>
      </w:r>
    </w:p>
    <w:p w14:paraId="3D3C9339" w14:textId="322A5D8B" w:rsidR="00391E57" w:rsidRDefault="00AB782A" w:rsidP="00AB782A">
      <w:pPr>
        <w:pStyle w:val="Heading2"/>
      </w:pPr>
      <w:bookmarkStart w:id="12" w:name="_6y7g48qbnxlk" w:colFirst="0" w:colLast="0"/>
      <w:bookmarkEnd w:id="12"/>
      <w:r>
        <w:t xml:space="preserve">4. </w:t>
      </w:r>
      <w:r w:rsidR="00391E57">
        <w:t>Setting Country Copayments</w:t>
      </w:r>
    </w:p>
    <w:p w14:paraId="57E8B6F1" w14:textId="14188115" w:rsidR="00391E57" w:rsidRDefault="0029543E" w:rsidP="00B57A55">
      <w:pPr>
        <w:pStyle w:val="Heading3"/>
        <w:rPr>
          <w:rFonts w:eastAsia="Calibri"/>
        </w:rPr>
      </w:pPr>
      <w:proofErr w:type="gramStart"/>
      <w:r>
        <w:rPr>
          <w:i/>
          <w:iCs/>
        </w:rPr>
        <w:t>Introduction</w:t>
      </w:r>
      <w:r w:rsidR="00B57A55">
        <w:rPr>
          <w:i/>
          <w:iCs/>
        </w:rPr>
        <w:t>.—</w:t>
      </w:r>
      <w:proofErr w:type="gramEnd"/>
      <w:r w:rsidR="00B57A55" w:rsidRPr="00B57A55">
        <w:rPr>
          <w:rFonts w:eastAsia="Calibri"/>
        </w:rPr>
        <w:t xml:space="preserve"> </w:t>
      </w:r>
      <w:r w:rsidR="00391E57">
        <w:rPr>
          <w:rFonts w:eastAsia="Calibri"/>
        </w:rPr>
        <w:t xml:space="preserve">A similar approach can be used to study the country copayment, which the </w:t>
      </w:r>
      <w:r w:rsidR="00AB782A">
        <w:rPr>
          <w:rFonts w:eastAsia="Calibri"/>
        </w:rPr>
        <w:t xml:space="preserve">pilot </w:t>
      </w:r>
      <w:r w:rsidR="00391E57" w:rsidRPr="00D12FE3">
        <w:rPr>
          <w:rFonts w:eastAsia="Calibri"/>
        </w:rPr>
        <w:t>AMC</w:t>
      </w:r>
      <w:r w:rsidR="00391E57">
        <w:rPr>
          <w:rFonts w:eastAsia="Calibri"/>
        </w:rPr>
        <w:t xml:space="preserve"> set at </w:t>
      </w:r>
      <w:r w:rsidR="00391E57" w:rsidRPr="00D12FE3">
        <w:rPr>
          <w:rFonts w:eastAsia="Calibri"/>
        </w:rPr>
        <w:t xml:space="preserve">$0.20 per dose. </w:t>
      </w:r>
      <w:r w:rsidR="00391E57">
        <w:rPr>
          <w:rFonts w:eastAsia="Calibri"/>
        </w:rPr>
        <w:t>A higher copayment lowers the cost to GAVI and AMC sponsors, but may deter countries from adopting the vaccine. A lower copayment increases the cost but reduces the resources for alternative interventions.</w:t>
      </w:r>
      <w:r w:rsidR="008A2E74">
        <w:rPr>
          <w:rFonts w:eastAsia="Calibri"/>
        </w:rPr>
        <w:t xml:space="preserve"> </w:t>
      </w:r>
      <w:r w:rsidR="005E5D86">
        <w:rPr>
          <w:rFonts w:eastAsia="Calibri"/>
        </w:rPr>
        <w:t>T</w:t>
      </w:r>
      <w:r w:rsidR="00391E57">
        <w:rPr>
          <w:rFonts w:eastAsia="Calibri"/>
        </w:rPr>
        <w:t xml:space="preserve">he high health benefit of vaccine usage creates an asymmetry </w:t>
      </w:r>
      <w:r w:rsidR="00AB782A">
        <w:rPr>
          <w:rFonts w:eastAsia="Calibri"/>
        </w:rPr>
        <w:t xml:space="preserve">between the losses on the two sides </w:t>
      </w:r>
      <w:r w:rsidR="00391E57">
        <w:rPr>
          <w:rFonts w:eastAsia="Calibri"/>
        </w:rPr>
        <w:t xml:space="preserve">that generally favors low copayments. </w:t>
      </w:r>
    </w:p>
    <w:p w14:paraId="411FAF5B" w14:textId="77777777" w:rsidR="0029543E" w:rsidRDefault="0029543E" w:rsidP="0029543E">
      <w:pPr>
        <w:ind w:firstLine="0"/>
        <w:rPr>
          <w:i/>
          <w:iCs/>
        </w:rPr>
      </w:pPr>
    </w:p>
    <w:p w14:paraId="15BF0F19" w14:textId="09C9A463" w:rsidR="00391E57" w:rsidRPr="00F6487D" w:rsidRDefault="004A4358" w:rsidP="0029543E">
      <w:pPr>
        <w:ind w:firstLine="0"/>
        <w:rPr>
          <w:rFonts w:eastAsia="Calibri"/>
        </w:rPr>
      </w:pPr>
      <w:r>
        <w:rPr>
          <w:i/>
          <w:iCs/>
        </w:rPr>
        <w:t>Calibration</w:t>
      </w:r>
      <w:r w:rsidR="0029543E">
        <w:rPr>
          <w:i/>
          <w:iCs/>
        </w:rPr>
        <w:t>.—</w:t>
      </w:r>
      <w:r w:rsidR="0029543E" w:rsidRPr="00B57A55">
        <w:rPr>
          <w:rFonts w:eastAsia="Calibri"/>
        </w:rPr>
        <w:t xml:space="preserve"> </w:t>
      </w:r>
      <w:r w:rsidR="00524FE6">
        <w:rPr>
          <w:rFonts w:eastAsia="Calibri"/>
        </w:rPr>
        <w:t xml:space="preserve">We maintain all the parameter calibrations from before except now we fix the price at the original AMC level, </w:t>
      </w:r>
      <m:oMath>
        <m:r>
          <w:rPr>
            <w:rFonts w:ascii="Cambria Math" w:eastAsia="Calibri" w:hAnsi="Cambria Math"/>
          </w:rPr>
          <m:t>p=$3.50</m:t>
        </m:r>
      </m:oMath>
      <w:r w:rsidR="00524FE6">
        <w:rPr>
          <w:rFonts w:eastAsia="Calibri"/>
        </w:rPr>
        <w:t xml:space="preserve">, and consider reductions in the country copayment from the original level of </w:t>
      </w:r>
      <m:oMath>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0</m:t>
            </m:r>
          </m:sub>
        </m:sSub>
        <m:r>
          <w:rPr>
            <w:rFonts w:ascii="Cambria Math" w:eastAsia="Calibri" w:hAnsi="Cambria Math"/>
          </w:rPr>
          <m:t>=$0.20</m:t>
        </m:r>
      </m:oMath>
      <w:r w:rsidR="00524FE6">
        <w:rPr>
          <w:rFonts w:eastAsia="Calibri"/>
        </w:rPr>
        <w:t xml:space="preserve"> to some lower copayment </w:t>
      </w:r>
      <m:oMath>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1</m:t>
            </m:r>
          </m:sub>
        </m:sSub>
      </m:oMath>
      <w:r w:rsidR="00524FE6">
        <w:rPr>
          <w:rFonts w:eastAsia="Calibri"/>
        </w:rPr>
        <w:t xml:space="preserve">. Recall that we calibrated the continuation probability </w:t>
      </w:r>
      <w:r w:rsidR="007371DE">
        <w:rPr>
          <w:rFonts w:eastAsia="Calibri"/>
        </w:rPr>
        <w:t>as</w:t>
      </w:r>
      <w:r w:rsidR="00524FE6">
        <w:rPr>
          <w:rFonts w:eastAsia="Calibri"/>
        </w:rPr>
        <w:t xml:space="preserve"> </w:t>
      </w:r>
      <m:oMath>
        <m:r>
          <w:rPr>
            <w:rFonts w:ascii="Cambria Math" w:eastAsia="Calibri" w:hAnsi="Cambria Math"/>
          </w:rPr>
          <m:t>x</m:t>
        </m:r>
        <m:d>
          <m:dPr>
            <m:ctrlPr>
              <w:rPr>
                <w:rFonts w:ascii="Cambria Math" w:eastAsia="Calibri" w:hAnsi="Cambria Math"/>
                <w:i/>
              </w:rPr>
            </m:ctrlPr>
          </m:dPr>
          <m:e>
            <m:r>
              <w:rPr>
                <w:rFonts w:ascii="Cambria Math" w:eastAsia="Calibri" w:hAnsi="Cambria Math"/>
              </w:rPr>
              <m:t>p</m:t>
            </m:r>
          </m:e>
        </m:d>
        <m:r>
          <w:rPr>
            <w:rFonts w:ascii="Cambria Math" w:eastAsia="Calibri" w:hAnsi="Cambria Math"/>
          </w:rPr>
          <m:t>=1</m:t>
        </m:r>
      </m:oMath>
      <w:r w:rsidR="005354D8">
        <w:rPr>
          <w:rFonts w:eastAsia="Calibri"/>
        </w:rPr>
        <w:t>, i.e., certain firm participation,</w:t>
      </w:r>
      <w:r w:rsidR="007371DE">
        <w:rPr>
          <w:rFonts w:eastAsia="Calibri"/>
        </w:rPr>
        <w:t xml:space="preserve"> when evaluated at the pilot AMC price of </w:t>
      </w:r>
      <m:oMath>
        <m:r>
          <w:rPr>
            <w:rFonts w:ascii="Cambria Math" w:eastAsia="Calibri" w:hAnsi="Cambria Math"/>
          </w:rPr>
          <m:t>p=$3.50</m:t>
        </m:r>
      </m:oMath>
      <w:r w:rsidR="007371DE">
        <w:rPr>
          <w:rFonts w:eastAsia="Calibri"/>
        </w:rPr>
        <w:t>.</w:t>
      </w:r>
    </w:p>
    <w:p w14:paraId="7CA1073D" w14:textId="7C46CF3E" w:rsidR="00524FE6" w:rsidRDefault="00524FE6" w:rsidP="00524FE6">
      <w:r>
        <w:rPr>
          <w:rFonts w:eastAsia="Calibri"/>
        </w:rPr>
        <w:t xml:space="preserve">The designer prefers </w:t>
      </w:r>
      <w:r w:rsidR="00A61FC6">
        <w:rPr>
          <w:rFonts w:eastAsia="Calibri"/>
        </w:rPr>
        <w:t xml:space="preserve">lower </w:t>
      </w:r>
      <w:r>
        <w:rPr>
          <w:rFonts w:eastAsia="Calibri"/>
        </w:rPr>
        <w:t xml:space="preserve">copayment </w:t>
      </w:r>
      <m:oMath>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1</m:t>
            </m:r>
          </m:sub>
        </m:sSub>
      </m:oMath>
      <w:r>
        <w:rPr>
          <w:rFonts w:eastAsia="Calibri"/>
        </w:rPr>
        <w:t xml:space="preserve"> to </w:t>
      </w:r>
      <m:oMath>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0</m:t>
            </m:r>
          </m:sub>
        </m:sSub>
        <m:r>
          <w:rPr>
            <w:rFonts w:ascii="Cambria Math" w:eastAsia="Calibri" w:hAnsi="Cambria Math"/>
          </w:rPr>
          <m:t>=$0.20</m:t>
        </m:r>
      </m:oMath>
      <w:r>
        <w:rPr>
          <w:rFonts w:eastAsia="Calibri"/>
        </w:rPr>
        <w:t xml:space="preserve"> </w:t>
      </w:r>
      <w:r w:rsidR="00391E57" w:rsidRPr="000C3007">
        <w:rPr>
          <w:rFonts w:eastAsia="Calibri"/>
        </w:rPr>
        <w:t>if</w:t>
      </w:r>
      <w:r>
        <w:rPr>
          <w:rFonts w:eastAsia="Calibri"/>
        </w:rPr>
        <w:t xml:space="preserve"> </w:t>
      </w:r>
      <m:oMath>
        <m:sSub>
          <m:sSubPr>
            <m:ctrlPr>
              <w:rPr>
                <w:rFonts w:ascii="Cambria Math" w:eastAsia="Calibri" w:hAnsi="Cambria Math"/>
                <w:i/>
              </w:rPr>
            </m:ctrlPr>
          </m:sSubPr>
          <m:e>
            <m:r>
              <w:rPr>
                <w:rFonts w:ascii="Cambria Math" w:eastAsia="Calibri" w:hAnsi="Cambria Math"/>
              </w:rPr>
              <m:t>W</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W</m:t>
            </m:r>
          </m:e>
          <m:sub>
            <m:r>
              <w:rPr>
                <w:rFonts w:ascii="Cambria Math" w:eastAsia="Calibri" w:hAnsi="Cambria Math"/>
              </w:rPr>
              <m:t>0</m:t>
            </m:r>
          </m:sub>
        </m:sSub>
      </m:oMath>
      <w:r w:rsidR="007371DE">
        <w:rPr>
          <w:rFonts w:eastAsia="Calibri"/>
        </w:rPr>
        <w:t xml:space="preserve">, </w:t>
      </w:r>
      <w:r w:rsidR="007371DE">
        <w:t xml:space="preserve">where we have redefined </w:t>
      </w:r>
      <m:oMath>
        <m:sSub>
          <m:sSubPr>
            <m:ctrlPr>
              <w:rPr>
                <w:rFonts w:ascii="Cambria Math" w:hAnsi="Cambria Math"/>
                <w:i/>
              </w:rPr>
            </m:ctrlPr>
          </m:sSubPr>
          <m:e>
            <m:r>
              <w:rPr>
                <w:rFonts w:ascii="Cambria Math" w:hAnsi="Cambria Math"/>
              </w:rPr>
              <m:t>W</m:t>
            </m:r>
          </m:e>
          <m:sub>
            <m:r>
              <w:rPr>
                <w:rFonts w:ascii="Cambria Math" w:hAnsi="Cambria Math"/>
              </w:rPr>
              <m:t>i</m:t>
            </m:r>
          </m:sub>
        </m:sSub>
      </m:oMath>
      <w:r w:rsidR="007371DE">
        <w:t xml:space="preserve"> in this section to denote welfare </w:t>
      </w:r>
      <w:r w:rsidR="00151BC7">
        <w:t xml:space="preserve">in equation </w:t>
      </w:r>
      <w:r w:rsidR="007371DE">
        <w:t xml:space="preserve">(3) evaluated at copayment </w:t>
      </w:r>
      <m:oMath>
        <m:sSub>
          <m:sSubPr>
            <m:ctrlPr>
              <w:rPr>
                <w:rFonts w:ascii="Cambria Math" w:hAnsi="Cambria Math"/>
                <w:i/>
              </w:rPr>
            </m:ctrlPr>
          </m:sSubPr>
          <m:e>
            <m:r>
              <w:rPr>
                <w:rFonts w:ascii="Cambria Math" w:hAnsi="Cambria Math"/>
              </w:rPr>
              <m:t>k</m:t>
            </m:r>
          </m:e>
          <m:sub>
            <m:r>
              <w:rPr>
                <w:rFonts w:ascii="Cambria Math" w:hAnsi="Cambria Math"/>
              </w:rPr>
              <m:t>i</m:t>
            </m:r>
          </m:sub>
        </m:sSub>
      </m:oMath>
      <w:r>
        <w:rPr>
          <w:rFonts w:eastAsia="Calibri"/>
        </w:rPr>
        <w:t xml:space="preserve">. </w:t>
      </w:r>
      <w:r>
        <w:t xml:space="preserve">Substituting from </w:t>
      </w:r>
      <w:r>
        <w:lastRenderedPageBreak/>
        <w:t>(3) into both sides of the preceding inequality, substituting the indicated copayments, and rearranging yields</w:t>
      </w:r>
    </w:p>
    <w:p w14:paraId="489FA77F" w14:textId="77777777" w:rsidR="00524FE6" w:rsidRDefault="00524FE6" w:rsidP="00524FE6"/>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2"/>
        <w:gridCol w:w="698"/>
      </w:tblGrid>
      <w:tr w:rsidR="00524FE6" w14:paraId="6A333EE8" w14:textId="77777777" w:rsidTr="007371DE">
        <w:tc>
          <w:tcPr>
            <w:tcW w:w="8662" w:type="dxa"/>
            <w:vAlign w:val="center"/>
          </w:tcPr>
          <w:p w14:paraId="2FE98230" w14:textId="5C291E5A" w:rsidR="00524FE6" w:rsidRPr="00C85372" w:rsidRDefault="001D561A" w:rsidP="007371DE">
            <w:pPr>
              <w:jc w:val="center"/>
              <w:rPr>
                <w:rFonts w:eastAsia="Calibri" w:cs="Times New Roman"/>
                <w:iCs/>
              </w:rPr>
            </w:pPr>
            <m:oMathPara>
              <m:oMath>
                <m:f>
                  <m:fPr>
                    <m:ctrlPr>
                      <w:rPr>
                        <w:rFonts w:ascii="Cambria Math" w:eastAsia="Calibri" w:hAnsi="Cambria Math"/>
                        <w:i/>
                      </w:rPr>
                    </m:ctrlPr>
                  </m:fPr>
                  <m:num>
                    <m:sSub>
                      <m:sSubPr>
                        <m:ctrlPr>
                          <w:rPr>
                            <w:rFonts w:ascii="Cambria Math" w:eastAsia="Calibri" w:hAnsi="Cambria Math"/>
                            <w:i/>
                          </w:rPr>
                        </m:ctrlPr>
                      </m:sSubPr>
                      <m:e>
                        <m:r>
                          <w:rPr>
                            <w:rFonts w:ascii="Cambria Math" w:eastAsia="Calibri" w:hAnsi="Cambria Math"/>
                          </w:rPr>
                          <m:t>q</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q</m:t>
                        </m:r>
                      </m:e>
                      <m:sub>
                        <m:r>
                          <w:rPr>
                            <w:rFonts w:ascii="Cambria Math" w:eastAsia="Calibri" w:hAnsi="Cambria Math"/>
                          </w:rPr>
                          <m:t>0</m:t>
                        </m:r>
                      </m:sub>
                    </m:sSub>
                  </m:num>
                  <m:den>
                    <m:sSub>
                      <m:sSubPr>
                        <m:ctrlPr>
                          <w:rPr>
                            <w:rFonts w:ascii="Cambria Math" w:eastAsia="Calibri" w:hAnsi="Cambria Math"/>
                            <w:i/>
                          </w:rPr>
                        </m:ctrlPr>
                      </m:sSubPr>
                      <m:e>
                        <m:r>
                          <w:rPr>
                            <w:rFonts w:ascii="Cambria Math" w:eastAsia="Calibri" w:hAnsi="Cambria Math"/>
                          </w:rPr>
                          <m:t>q</m:t>
                        </m:r>
                      </m:e>
                      <m:sub>
                        <m:r>
                          <w:rPr>
                            <w:rFonts w:ascii="Cambria Math" w:eastAsia="Calibri" w:hAnsi="Cambria Math"/>
                          </w:rPr>
                          <m:t>0</m:t>
                        </m:r>
                      </m:sub>
                    </m:sSub>
                  </m:den>
                </m:f>
                <m:r>
                  <w:rPr>
                    <w:rFonts w:ascii="Cambria Math" w:eastAsia="Calibri" w:hAnsi="Cambria Math"/>
                  </w:rPr>
                  <m:t>≥</m:t>
                </m:r>
                <m:f>
                  <m:fPr>
                    <m:ctrlPr>
                      <w:rPr>
                        <w:rFonts w:ascii="Cambria Math" w:eastAsia="Calibri" w:hAnsi="Cambria Math"/>
                        <w:i/>
                      </w:rPr>
                    </m:ctrlPr>
                  </m:fPr>
                  <m:num>
                    <m:d>
                      <m:dPr>
                        <m:ctrlPr>
                          <w:rPr>
                            <w:rFonts w:ascii="Cambria Math" w:eastAsia="Calibri" w:hAnsi="Cambria Math"/>
                            <w:i/>
                          </w:rPr>
                        </m:ctrlPr>
                      </m:dPr>
                      <m:e>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0</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1</m:t>
                            </m:r>
                          </m:sub>
                        </m:sSub>
                      </m:e>
                    </m:d>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o</m:t>
                        </m:r>
                      </m:sub>
                    </m:sSub>
                  </m:num>
                  <m:den>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a</m:t>
                        </m:r>
                      </m:sub>
                    </m:sSub>
                    <m:r>
                      <w:rPr>
                        <w:rFonts w:ascii="Cambria Math" w:eastAsia="Calibri" w:hAnsi="Cambria Math"/>
                      </w:rPr>
                      <m:t>-</m:t>
                    </m:r>
                    <m:d>
                      <m:dPr>
                        <m:ctrlPr>
                          <w:rPr>
                            <w:rFonts w:ascii="Cambria Math" w:eastAsia="Calibri" w:hAnsi="Cambria Math"/>
                            <w:i/>
                          </w:rPr>
                        </m:ctrlPr>
                      </m:dPr>
                      <m:e>
                        <m:r>
                          <w:rPr>
                            <w:rFonts w:ascii="Cambria Math" w:eastAsia="Calibri" w:hAnsi="Cambria Math"/>
                          </w:rPr>
                          <m:t>p+s+a-</m:t>
                        </m:r>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1</m:t>
                            </m:r>
                          </m:sub>
                        </m:sSub>
                      </m:e>
                    </m:d>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o</m:t>
                        </m:r>
                      </m:sub>
                    </m:sSub>
                  </m:den>
                </m:f>
                <m:r>
                  <w:rPr>
                    <w:rFonts w:ascii="Cambria Math" w:eastAsia="Calibri" w:hAnsi="Cambria Math"/>
                  </w:rPr>
                  <m:t>,</m:t>
                </m:r>
              </m:oMath>
            </m:oMathPara>
          </w:p>
        </w:tc>
        <w:tc>
          <w:tcPr>
            <w:tcW w:w="698" w:type="dxa"/>
          </w:tcPr>
          <w:p w14:paraId="2C34371E" w14:textId="46281C9A" w:rsidR="00524FE6" w:rsidRDefault="00524FE6" w:rsidP="007371DE">
            <w:pPr>
              <w:spacing w:before="120" w:after="120" w:line="360" w:lineRule="auto"/>
              <w:rPr>
                <w:rFonts w:cs="Times New Roman"/>
              </w:rPr>
            </w:pPr>
            <w:r>
              <w:rPr>
                <w:rFonts w:cs="Times New Roman"/>
              </w:rPr>
              <w:t>(</w:t>
            </w:r>
            <w:r w:rsidR="007371DE">
              <w:rPr>
                <w:rFonts w:cs="Times New Roman"/>
              </w:rPr>
              <w:t>6</w:t>
            </w:r>
            <w:r>
              <w:rPr>
                <w:rFonts w:cs="Times New Roman"/>
              </w:rPr>
              <w:t>)</w:t>
            </w:r>
          </w:p>
        </w:tc>
      </w:tr>
    </w:tbl>
    <w:p w14:paraId="0F166C59" w14:textId="77777777" w:rsidR="00E367E7" w:rsidRDefault="00E367E7" w:rsidP="00E367E7">
      <w:pPr>
        <w:ind w:firstLine="0"/>
        <w:rPr>
          <w:rFonts w:eastAsia="Calibri"/>
        </w:rPr>
      </w:pPr>
    </w:p>
    <w:p w14:paraId="15B6D150" w14:textId="7C4CE0EC" w:rsidR="00E367E7" w:rsidRDefault="007371DE" w:rsidP="00E367E7">
      <w:pPr>
        <w:ind w:firstLine="0"/>
      </w:pPr>
      <w:r>
        <w:rPr>
          <w:rFonts w:eastAsia="Calibri"/>
        </w:rPr>
        <w:t>where</w:t>
      </w:r>
      <w:r w:rsidR="00391E57">
        <w:rPr>
          <w:rFonts w:eastAsia="Calibri"/>
        </w:rPr>
        <w:t xml:space="preserve"> </w:t>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≡q(</m:t>
        </m:r>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m:t>
        </m:r>
      </m:oMath>
      <w:r>
        <w:t>.</w:t>
      </w:r>
      <w:r w:rsidR="00E367E7">
        <w:t xml:space="preserve"> Substituting the calibrated parameters and copayments into (6) yields </w:t>
      </w:r>
    </w:p>
    <w:p w14:paraId="2188990B" w14:textId="77777777" w:rsidR="00E367E7" w:rsidRDefault="00E367E7" w:rsidP="00E367E7"/>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2"/>
        <w:gridCol w:w="698"/>
      </w:tblGrid>
      <w:tr w:rsidR="00E367E7" w14:paraId="43C75321" w14:textId="77777777" w:rsidTr="00711F37">
        <w:tc>
          <w:tcPr>
            <w:tcW w:w="8662" w:type="dxa"/>
            <w:vAlign w:val="center"/>
          </w:tcPr>
          <w:p w14:paraId="10641091" w14:textId="015FAFDE" w:rsidR="00E367E7" w:rsidRPr="00C85372" w:rsidRDefault="00E367E7" w:rsidP="00711F37">
            <w:pPr>
              <w:jc w:val="center"/>
              <w:rPr>
                <w:rFonts w:eastAsia="Calibri" w:cs="Times New Roman"/>
                <w:iCs/>
              </w:rPr>
            </w:pPr>
            <m:oMathPara>
              <m:oMath>
                <m:r>
                  <w:rPr>
                    <w:rFonts w:ascii="Cambria Math" w:eastAsia="Calibri" w:hAnsi="Cambria Math"/>
                  </w:rPr>
                  <m:t>∆q≥</m:t>
                </m:r>
                <m:f>
                  <m:fPr>
                    <m:ctrlPr>
                      <w:rPr>
                        <w:rFonts w:ascii="Cambria Math" w:eastAsia="Calibri" w:hAnsi="Cambria Math"/>
                        <w:i/>
                      </w:rPr>
                    </m:ctrlPr>
                  </m:fPr>
                  <m:num>
                    <m:r>
                      <w:rPr>
                        <w:rFonts w:ascii="Cambria Math" w:eastAsia="Calibri" w:hAnsi="Cambria Math"/>
                      </w:rPr>
                      <m:t>(0.20-</m:t>
                    </m:r>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o</m:t>
                        </m:r>
                      </m:sub>
                    </m:sSub>
                  </m:num>
                  <m:den>
                    <m:r>
                      <w:rPr>
                        <w:rFonts w:ascii="Cambria Math" w:eastAsia="Calibri" w:hAnsi="Cambria Math"/>
                      </w:rPr>
                      <m:t>0.063-(5.25-</m:t>
                    </m:r>
                    <m:sSub>
                      <m:sSubPr>
                        <m:ctrlPr>
                          <w:rPr>
                            <w:rFonts w:ascii="Cambria Math" w:eastAsia="Calibri" w:hAnsi="Cambria Math"/>
                            <w:i/>
                          </w:rPr>
                        </m:ctrlPr>
                      </m:sSubPr>
                      <m:e>
                        <m:r>
                          <w:rPr>
                            <w:rFonts w:ascii="Cambria Math" w:eastAsia="Calibri" w:hAnsi="Cambria Math"/>
                          </w:rPr>
                          <m:t>k</m:t>
                        </m:r>
                      </m:e>
                      <m:sub>
                        <m:r>
                          <w:rPr>
                            <w:rFonts w:ascii="Cambria Math" w:eastAsia="Calibri" w:hAnsi="Cambria Math"/>
                          </w:rPr>
                          <m:t>1</m:t>
                        </m:r>
                      </m:sub>
                    </m:sSub>
                    <m:r>
                      <w:rPr>
                        <w:rFonts w:ascii="Cambria Math" w:eastAsia="Calibri" w:hAnsi="Cambria Math"/>
                      </w:rPr>
                      <m:t>)</m:t>
                    </m:r>
                    <m:sSub>
                      <m:sSubPr>
                        <m:ctrlPr>
                          <w:rPr>
                            <w:rFonts w:ascii="Cambria Math" w:eastAsia="Calibri" w:hAnsi="Cambria Math"/>
                            <w:i/>
                          </w:rPr>
                        </m:ctrlPr>
                      </m:sSubPr>
                      <m:e>
                        <m:r>
                          <w:rPr>
                            <w:rFonts w:ascii="Cambria Math" w:eastAsia="Calibri" w:hAnsi="Cambria Math"/>
                          </w:rPr>
                          <m:t>h</m:t>
                        </m:r>
                      </m:e>
                      <m:sub>
                        <m:r>
                          <w:rPr>
                            <w:rFonts w:ascii="Cambria Math" w:eastAsia="Calibri" w:hAnsi="Cambria Math"/>
                          </w:rPr>
                          <m:t>o</m:t>
                        </m:r>
                      </m:sub>
                    </m:sSub>
                  </m:den>
                </m:f>
                <m:r>
                  <w:rPr>
                    <w:rFonts w:ascii="Cambria Math" w:eastAsia="Calibri" w:hAnsi="Cambria Math"/>
                  </w:rPr>
                  <m:t>.</m:t>
                </m:r>
              </m:oMath>
            </m:oMathPara>
          </w:p>
        </w:tc>
        <w:tc>
          <w:tcPr>
            <w:tcW w:w="698" w:type="dxa"/>
          </w:tcPr>
          <w:p w14:paraId="69DC4EC9" w14:textId="1305531C" w:rsidR="00E367E7" w:rsidRDefault="00E367E7" w:rsidP="00711F37">
            <w:pPr>
              <w:spacing w:before="120" w:after="120" w:line="360" w:lineRule="auto"/>
              <w:rPr>
                <w:rFonts w:cs="Times New Roman"/>
              </w:rPr>
            </w:pPr>
            <w:r>
              <w:rPr>
                <w:rFonts w:cs="Times New Roman"/>
              </w:rPr>
              <w:t>(7)</w:t>
            </w:r>
          </w:p>
        </w:tc>
      </w:tr>
    </w:tbl>
    <w:p w14:paraId="50CCF839" w14:textId="77777777" w:rsidR="00E367E7" w:rsidRDefault="00E367E7" w:rsidP="00E367E7">
      <w:pPr>
        <w:ind w:firstLine="0"/>
        <w:rPr>
          <w:rFonts w:eastAsia="Calibri"/>
        </w:rPr>
      </w:pPr>
    </w:p>
    <w:p w14:paraId="45366463" w14:textId="6E7D7BE5" w:rsidR="00893BE4" w:rsidRDefault="00E367E7" w:rsidP="00893BE4">
      <w:pPr>
        <w:ind w:firstLine="0"/>
      </w:pPr>
      <w:r>
        <w:t xml:space="preserve">where </w:t>
      </w:r>
      <m:oMath>
        <m:r>
          <w:rPr>
            <w:rFonts w:ascii="Cambria Math" w:hAnsi="Cambria Math"/>
          </w:rPr>
          <m:t>∆q≡</m:t>
        </m:r>
        <m:f>
          <m:fPr>
            <m:type m:val="lin"/>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0</m:t>
                </m:r>
              </m:sub>
            </m:sSub>
            <m:r>
              <w:rPr>
                <w:rFonts w:ascii="Cambria Math" w:hAnsi="Cambria Math"/>
              </w:rPr>
              <m:t>)</m:t>
            </m:r>
          </m:num>
          <m:den>
            <m:sSub>
              <m:sSubPr>
                <m:ctrlPr>
                  <w:rPr>
                    <w:rFonts w:ascii="Cambria Math" w:hAnsi="Cambria Math"/>
                    <w:i/>
                  </w:rPr>
                </m:ctrlPr>
              </m:sSubPr>
              <m:e>
                <m:r>
                  <w:rPr>
                    <w:rFonts w:ascii="Cambria Math" w:hAnsi="Cambria Math"/>
                  </w:rPr>
                  <m:t>q</m:t>
                </m:r>
              </m:e>
              <m:sub>
                <m:r>
                  <w:rPr>
                    <w:rFonts w:ascii="Cambria Math" w:hAnsi="Cambria Math"/>
                  </w:rPr>
                  <m:t>0</m:t>
                </m:r>
              </m:sub>
            </m:sSub>
          </m:den>
        </m:f>
      </m:oMath>
      <w:r>
        <w:t xml:space="preserve">. Intuitively, condition (7) says that the designer prefers the copayment if the </w:t>
      </w:r>
      <w:r w:rsidR="00A5738F">
        <w:t xml:space="preserve">market expansion </w:t>
      </w:r>
      <w:r>
        <w:t xml:space="preserve">on the left-hand side of the inequality exceeds the ratio of the health benefits bought with proceeds from the higher copayment (in the numerator on the right-hand side) to the incremental health benefit of a dose of PCV under the AMC compared to the same money being spent on an alternative intervention (in the denominator). The fact that the </w:t>
      </w:r>
      <w:r w:rsidRPr="005D2CE5">
        <w:t>right-hand side of (</w:t>
      </w:r>
      <w:r>
        <w:t>7</w:t>
      </w:r>
      <w:r w:rsidRPr="005D2CE5">
        <w:t xml:space="preserve">) is decreasing in </w:t>
      </w:r>
      <m:oMath>
        <m:sSub>
          <m:sSubPr>
            <m:ctrlPr>
              <w:rPr>
                <w:rFonts w:ascii="Cambria Math" w:hAnsi="Cambria Math"/>
              </w:rPr>
            </m:ctrlPr>
          </m:sSubPr>
          <m:e>
            <m:r>
              <w:rPr>
                <w:rFonts w:ascii="Cambria Math" w:hAnsi="Cambria Math"/>
              </w:rPr>
              <m:t>h</m:t>
            </m:r>
          </m:e>
          <m:sub>
            <m:r>
              <w:rPr>
                <w:rFonts w:ascii="Cambria Math" w:hAnsi="Cambria Math"/>
              </w:rPr>
              <m:t>o</m:t>
            </m:r>
          </m:sub>
        </m:sSub>
      </m:oMath>
      <w:r>
        <w:t xml:space="preserve"> </w:t>
      </w:r>
      <w:r w:rsidRPr="005D2CE5">
        <w:t xml:space="preserve">implies that an increase in the opportunity cost of funds </w:t>
      </w:r>
      <w:r>
        <w:t xml:space="preserve">relaxes the condition, increasing </w:t>
      </w:r>
      <w:r w:rsidRPr="005D2CE5">
        <w:t xml:space="preserve">the appeal of a </w:t>
      </w:r>
      <w:r>
        <w:t>lower copayment</w:t>
      </w:r>
      <w:r w:rsidRPr="005D2CE5">
        <w:t xml:space="preserve">. </w:t>
      </w:r>
      <w:r>
        <w:t xml:space="preserve">In other words, a </w:t>
      </w:r>
      <w:r w:rsidRPr="005D2CE5">
        <w:t xml:space="preserve">reduction in the opportunity cost of funds </w:t>
      </w:r>
      <w:r w:rsidRPr="002422FF">
        <w:t xml:space="preserve">tightens the condition under which the designer prefers the lower </w:t>
      </w:r>
      <w:r>
        <w:t>copayment</w:t>
      </w:r>
      <w:r w:rsidRPr="002422FF">
        <w:t xml:space="preserve">; lowering the </w:t>
      </w:r>
      <w:r>
        <w:t xml:space="preserve">copayment </w:t>
      </w:r>
      <w:r w:rsidRPr="002422FF">
        <w:t xml:space="preserve">to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Pr="002422FF">
        <w:t xml:space="preserve"> </w:t>
      </w:r>
      <w:r w:rsidR="00893BE4">
        <w:t xml:space="preserve">would </w:t>
      </w:r>
      <w:r w:rsidRPr="002422FF">
        <w:t>only make</w:t>
      </w:r>
      <w:r>
        <w:t>s</w:t>
      </w:r>
      <w:r w:rsidRPr="002422FF">
        <w:t xml:space="preserve"> sense if </w:t>
      </w:r>
      <w:r w:rsidR="00893BE4">
        <w:t>this boosts country take up sufficiently</w:t>
      </w:r>
      <w:r w:rsidRPr="002422FF">
        <w:t>.</w:t>
      </w:r>
      <w:r>
        <w:t xml:space="preserve"> Denote the threshold </w:t>
      </w:r>
      <w:r w:rsidR="00A5738F">
        <w:t xml:space="preserve">market expansion </w:t>
      </w:r>
      <w:r>
        <w:t>at which condition (</w:t>
      </w:r>
      <w:r w:rsidR="00893BE4">
        <w:t>7</w:t>
      </w:r>
      <w:r>
        <w:t xml:space="preserve">) just holds with equality by </w:t>
      </w:r>
      <m:oMath>
        <m:acc>
          <m:accPr>
            <m:ctrlPr>
              <w:rPr>
                <w:rFonts w:ascii="Cambria Math" w:hAnsi="Cambria Math"/>
                <w:i/>
              </w:rPr>
            </m:ctrlPr>
          </m:accPr>
          <m:e>
            <m:r>
              <w:rPr>
                <w:rFonts w:ascii="Cambria Math" w:hAnsi="Cambria Math"/>
              </w:rPr>
              <m:t>∆q</m:t>
            </m:r>
          </m:e>
        </m:acc>
      </m:oMath>
      <w:r w:rsidR="00893BE4">
        <w:t>.</w:t>
      </w:r>
    </w:p>
    <w:p w14:paraId="67180F9B" w14:textId="52E42272" w:rsidR="00391E57" w:rsidRPr="00893BE4" w:rsidRDefault="00391E57" w:rsidP="00893BE4">
      <w:r>
        <w:t>T</w:t>
      </w:r>
      <w:r w:rsidR="005A24B4">
        <w:t xml:space="preserve">able 3 </w:t>
      </w:r>
      <w:r>
        <w:t xml:space="preserve">shows the </w:t>
      </w:r>
      <w:r w:rsidR="00A5738F">
        <w:t xml:space="preserve">market expansion </w:t>
      </w:r>
      <w:r w:rsidR="005A24B4">
        <w:t xml:space="preserve">required to </w:t>
      </w:r>
      <w:r>
        <w:t xml:space="preserve">make </w:t>
      </w:r>
      <w:r w:rsidR="005A24B4">
        <w:t xml:space="preserve">various </w:t>
      </w:r>
      <w:r>
        <w:t>lower copayments</w:t>
      </w:r>
      <w:r w:rsidR="005A24B4">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=$0.10</m:t>
        </m:r>
      </m:oMath>
      <w:r w:rsidR="005A24B4">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=$0.05</m:t>
        </m:r>
      </m:oMath>
      <w:r w:rsidR="005A24B4">
        <w:t xml:space="preserve">, </w:t>
      </w:r>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=$0.00</m:t>
        </m:r>
      </m:oMath>
      <w:r w:rsidR="005A24B4">
        <w:t xml:space="preserve">) </w:t>
      </w:r>
      <w:r>
        <w:t>preferable to</w:t>
      </w:r>
      <w:r w:rsidR="005A24B4">
        <w:t xml:space="preserve"> </w:t>
      </w:r>
      <m:oMath>
        <m:sSub>
          <m:sSubPr>
            <m:ctrlPr>
              <w:rPr>
                <w:rFonts w:ascii="Cambria Math" w:hAnsi="Cambria Math"/>
                <w:i/>
              </w:rPr>
            </m:ctrlPr>
          </m:sSubPr>
          <m:e>
            <m:r>
              <w:rPr>
                <w:rFonts w:ascii="Cambria Math" w:hAnsi="Cambria Math"/>
              </w:rPr>
              <m:t>k</m:t>
            </m:r>
          </m:e>
          <m:sub>
            <m:r>
              <w:rPr>
                <w:rFonts w:ascii="Cambria Math" w:hAnsi="Cambria Math"/>
              </w:rPr>
              <m:t>0</m:t>
            </m:r>
          </m:sub>
        </m:sSub>
        <m:r>
          <w:rPr>
            <w:rFonts w:ascii="Cambria Math" w:hAnsi="Cambria Math"/>
          </w:rPr>
          <m:t>=$0.20</m:t>
        </m:r>
      </m:oMath>
      <w:r>
        <w:t xml:space="preserve"> given different level of </w:t>
      </w:r>
      <w:r w:rsidR="005A24B4">
        <w:t xml:space="preserve">the opportunity cost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t>.</w:t>
      </w:r>
      <w:r w:rsidR="005A24B4">
        <w:t xml:space="preserve"> Across all table entries, t</w:t>
      </w:r>
      <w:r w:rsidR="005A24B4">
        <w:rPr>
          <w:rFonts w:eastAsia="Calibri"/>
        </w:rPr>
        <w:t>he required market expansion is quite small to make lower copayments beneficial.</w:t>
      </w:r>
    </w:p>
    <w:p w14:paraId="3BE542E5" w14:textId="77777777" w:rsidR="00391E57" w:rsidRDefault="00391E57" w:rsidP="00391E57">
      <w:pPr>
        <w:rPr>
          <w:rFonts w:eastAsia="Calibri"/>
        </w:rPr>
      </w:pPr>
    </w:p>
    <w:tbl>
      <w:tblPr>
        <w:tblStyle w:val="TableGrid"/>
        <w:tblW w:w="9009" w:type="dxa"/>
        <w:tblLook w:val="06A0" w:firstRow="1" w:lastRow="0" w:firstColumn="1" w:lastColumn="0" w:noHBand="1" w:noVBand="1"/>
      </w:tblPr>
      <w:tblGrid>
        <w:gridCol w:w="1954"/>
        <w:gridCol w:w="1735"/>
        <w:gridCol w:w="1902"/>
        <w:gridCol w:w="1709"/>
        <w:gridCol w:w="1709"/>
      </w:tblGrid>
      <w:tr w:rsidR="00A5738F" w14:paraId="221BC6AF" w14:textId="3DC71924" w:rsidTr="00A5738F">
        <w:trPr>
          <w:trHeight w:val="99"/>
        </w:trPr>
        <w:tc>
          <w:tcPr>
            <w:tcW w:w="9009" w:type="dxa"/>
            <w:gridSpan w:val="5"/>
            <w:tcBorders>
              <w:top w:val="nil"/>
              <w:left w:val="nil"/>
              <w:bottom w:val="double" w:sz="4" w:space="0" w:color="auto"/>
              <w:right w:val="nil"/>
            </w:tcBorders>
          </w:tcPr>
          <w:p w14:paraId="1A1C57F8" w14:textId="640E4012" w:rsidR="00A5738F" w:rsidRDefault="00A5738F" w:rsidP="00711F37">
            <w:pPr>
              <w:pStyle w:val="TableHeading"/>
              <w:pBdr>
                <w:bottom w:val="none" w:sz="0" w:space="0" w:color="auto"/>
              </w:pBdr>
              <w:ind w:right="0"/>
            </w:pPr>
            <w:r>
              <w:t xml:space="preserve">Table </w:t>
            </w:r>
            <w:r w:rsidR="005A24B4">
              <w:t>3</w:t>
            </w:r>
            <w:r w:rsidRPr="0052428D">
              <w:t>—</w:t>
            </w:r>
            <w:r>
              <w:t xml:space="preserve"> Threshold Market Expansion for Designer to Prefer Lower Copayments</w:t>
            </w:r>
          </w:p>
        </w:tc>
      </w:tr>
      <w:tr w:rsidR="005265E1" w14:paraId="4C820F1D" w14:textId="1F24ECE4" w:rsidTr="005265E1">
        <w:trPr>
          <w:trHeight w:val="288"/>
        </w:trPr>
        <w:tc>
          <w:tcPr>
            <w:tcW w:w="1954" w:type="dxa"/>
            <w:vMerge w:val="restart"/>
            <w:tcBorders>
              <w:top w:val="double" w:sz="4" w:space="0" w:color="auto"/>
              <w:left w:val="nil"/>
              <w:right w:val="nil"/>
            </w:tcBorders>
            <w:vAlign w:val="center"/>
          </w:tcPr>
          <w:p w14:paraId="1EA1DB47" w14:textId="77777777" w:rsidR="005265E1" w:rsidRDefault="005265E1" w:rsidP="005265E1">
            <w:pPr>
              <w:pStyle w:val="TableHeading"/>
              <w:pBdr>
                <w:bottom w:val="none" w:sz="0" w:space="0" w:color="auto"/>
              </w:pBdr>
              <w:ind w:right="0"/>
              <w:jc w:val="left"/>
              <w:rPr>
                <w:iCs/>
                <w:smallCaps w:val="0"/>
                <w:spacing w:val="0"/>
                <w:w w:val="100"/>
              </w:rPr>
            </w:pPr>
            <w:r w:rsidRPr="00035007">
              <w:rPr>
                <w:iCs/>
                <w:smallCaps w:val="0"/>
                <w:spacing w:val="0"/>
                <w:w w:val="100"/>
              </w:rPr>
              <w:t>Cost effectiveness of</w:t>
            </w:r>
          </w:p>
          <w:p w14:paraId="5C2860C0" w14:textId="148B2F67" w:rsidR="005265E1" w:rsidRPr="00F844D5" w:rsidRDefault="005265E1" w:rsidP="005265E1">
            <w:pPr>
              <w:pStyle w:val="TableHeading"/>
              <w:pBdr>
                <w:bottom w:val="none" w:sz="0" w:space="0" w:color="auto"/>
              </w:pBdr>
              <w:ind w:right="0"/>
              <w:jc w:val="left"/>
              <w:rPr>
                <w:iCs/>
                <w:smallCaps w:val="0"/>
                <w:spacing w:val="0"/>
                <w:w w:val="100"/>
              </w:rPr>
            </w:pPr>
            <w:r w:rsidRPr="00035007">
              <w:rPr>
                <w:iCs/>
                <w:smallCaps w:val="0"/>
                <w:spacing w:val="0"/>
                <w:w w:val="100"/>
              </w:rPr>
              <w:t>alternative intervention</w:t>
            </w:r>
            <w:r>
              <w:rPr>
                <w:iCs/>
                <w:smallCaps w:val="0"/>
                <w:spacing w:val="0"/>
                <w:w w:val="100"/>
              </w:rPr>
              <w:t xml:space="preserve">, </w:t>
            </w:r>
            <m:oMath>
              <m:r>
                <w:rPr>
                  <w:rFonts w:ascii="Cambria Math" w:hAnsi="Cambria Math"/>
                  <w:smallCaps w:val="0"/>
                  <w:spacing w:val="0"/>
                  <w:w w:val="100"/>
                </w:rPr>
                <m:t>1/</m:t>
              </m:r>
              <m:sSub>
                <m:sSubPr>
                  <m:ctrlPr>
                    <w:rPr>
                      <w:rFonts w:ascii="Cambria Math" w:hAnsi="Cambria Math"/>
                      <w:i/>
                      <w:iCs/>
                      <w:smallCaps w:val="0"/>
                      <w:spacing w:val="0"/>
                      <w:w w:val="100"/>
                    </w:rPr>
                  </m:ctrlPr>
                </m:sSubPr>
                <m:e>
                  <m:r>
                    <w:rPr>
                      <w:rFonts w:ascii="Cambria Math" w:hAnsi="Cambria Math"/>
                      <w:smallCaps w:val="0"/>
                      <w:spacing w:val="0"/>
                      <w:w w:val="100"/>
                    </w:rPr>
                    <m:t>h</m:t>
                  </m:r>
                </m:e>
                <m:sub>
                  <m:r>
                    <w:rPr>
                      <w:rFonts w:ascii="Cambria Math" w:hAnsi="Cambria Math"/>
                      <w:smallCaps w:val="0"/>
                      <w:spacing w:val="0"/>
                      <w:w w:val="100"/>
                    </w:rPr>
                    <m:t>o</m:t>
                  </m:r>
                </m:sub>
              </m:sSub>
            </m:oMath>
            <w:r>
              <w:rPr>
                <w:iCs/>
                <w:smallCaps w:val="0"/>
                <w:spacing w:val="0"/>
                <w:w w:val="100"/>
              </w:rPr>
              <w:t xml:space="preserve"> ($ per DALY)</w:t>
            </w:r>
          </w:p>
        </w:tc>
        <w:tc>
          <w:tcPr>
            <w:tcW w:w="1735" w:type="dxa"/>
            <w:tcBorders>
              <w:top w:val="double" w:sz="4" w:space="0" w:color="auto"/>
              <w:left w:val="nil"/>
              <w:bottom w:val="nil"/>
              <w:right w:val="nil"/>
            </w:tcBorders>
            <w:vAlign w:val="center"/>
          </w:tcPr>
          <w:p w14:paraId="759CE56A" w14:textId="77A14C8E" w:rsidR="005265E1" w:rsidRDefault="005265E1" w:rsidP="005265E1">
            <w:pPr>
              <w:pStyle w:val="TableHeading"/>
              <w:pBdr>
                <w:bottom w:val="none" w:sz="0" w:space="0" w:color="auto"/>
              </w:pBdr>
              <w:ind w:right="0"/>
              <w:rPr>
                <w:iCs/>
                <w:smallCaps w:val="0"/>
                <w:spacing w:val="0"/>
                <w:w w:val="100"/>
              </w:rPr>
            </w:pPr>
          </w:p>
        </w:tc>
        <w:tc>
          <w:tcPr>
            <w:tcW w:w="5320" w:type="dxa"/>
            <w:gridSpan w:val="3"/>
            <w:tcBorders>
              <w:top w:val="double" w:sz="4" w:space="0" w:color="auto"/>
              <w:left w:val="nil"/>
              <w:bottom w:val="single" w:sz="4" w:space="0" w:color="auto"/>
              <w:right w:val="nil"/>
            </w:tcBorders>
            <w:vAlign w:val="bottom"/>
          </w:tcPr>
          <w:p w14:paraId="66A0B0C8" w14:textId="17B75C5F" w:rsidR="005265E1" w:rsidRDefault="00602C4B" w:rsidP="00711F37">
            <w:pPr>
              <w:pStyle w:val="TableHeading"/>
              <w:pBdr>
                <w:bottom w:val="none" w:sz="0" w:space="0" w:color="auto"/>
              </w:pBdr>
              <w:ind w:right="0"/>
              <w:rPr>
                <w:iCs/>
                <w:smallCaps w:val="0"/>
                <w:spacing w:val="0"/>
                <w:w w:val="100"/>
              </w:rPr>
            </w:pPr>
            <w:r>
              <w:rPr>
                <w:iCs/>
                <w:smallCaps w:val="0"/>
                <w:spacing w:val="0"/>
                <w:w w:val="100"/>
              </w:rPr>
              <w:t xml:space="preserve">Threshold quantity increase </w:t>
            </w:r>
            <m:oMath>
              <m:r>
                <m:rPr>
                  <m:sty m:val="p"/>
                </m:rPr>
                <w:rPr>
                  <w:rFonts w:ascii="Cambria Math" w:hAnsi="Cambria Math"/>
                </w:rPr>
                <m:t xml:space="preserve"> </m:t>
              </m:r>
              <m:acc>
                <m:accPr>
                  <m:ctrlPr>
                    <w:rPr>
                      <w:rFonts w:ascii="Cambria Math" w:eastAsia="Cambria" w:hAnsi="Cambria Math" w:cs="Times New Roman"/>
                      <w:i/>
                      <w:smallCaps w:val="0"/>
                      <w:color w:val="auto"/>
                      <w:spacing w:val="0"/>
                      <w:w w:val="100"/>
                      <w:sz w:val="24"/>
                      <w:szCs w:val="24"/>
                    </w:rPr>
                  </m:ctrlPr>
                </m:accPr>
                <m:e>
                  <m:r>
                    <w:rPr>
                      <w:rFonts w:ascii="Cambria Math" w:hAnsi="Cambria Math"/>
                    </w:rPr>
                    <m:t>∆q</m:t>
                  </m:r>
                </m:e>
              </m:acc>
            </m:oMath>
            <w:r>
              <w:rPr>
                <w:smallCaps w:val="0"/>
                <w:color w:val="auto"/>
                <w:spacing w:val="0"/>
                <w:w w:val="100"/>
                <w:sz w:val="24"/>
                <w:szCs w:val="24"/>
              </w:rPr>
              <w:t xml:space="preserve"> </w:t>
            </w:r>
            <w:r>
              <w:rPr>
                <w:iCs/>
                <w:smallCaps w:val="0"/>
                <w:spacing w:val="0"/>
                <w:w w:val="100"/>
              </w:rPr>
              <w:t>for a</w:t>
            </w:r>
            <w:r w:rsidR="005265E1">
              <w:rPr>
                <w:iCs/>
                <w:smallCaps w:val="0"/>
                <w:spacing w:val="0"/>
                <w:w w:val="100"/>
              </w:rPr>
              <w:t>lternative copayment</w:t>
            </w:r>
            <w:r>
              <w:rPr>
                <w:iCs/>
                <w:smallCaps w:val="0"/>
                <w:spacing w:val="0"/>
                <w:w w:val="100"/>
              </w:rPr>
              <w:t>s</w:t>
            </w:r>
          </w:p>
        </w:tc>
      </w:tr>
      <w:tr w:rsidR="005265E1" w14:paraId="07A742B7" w14:textId="77777777" w:rsidTr="005265E1">
        <w:trPr>
          <w:trHeight w:val="395"/>
        </w:trPr>
        <w:tc>
          <w:tcPr>
            <w:tcW w:w="1954" w:type="dxa"/>
            <w:vMerge/>
            <w:tcBorders>
              <w:top w:val="nil"/>
              <w:left w:val="nil"/>
              <w:right w:val="nil"/>
            </w:tcBorders>
            <w:vAlign w:val="bottom"/>
          </w:tcPr>
          <w:p w14:paraId="3AED34E1" w14:textId="77777777" w:rsidR="005265E1" w:rsidRPr="00035007" w:rsidRDefault="005265E1" w:rsidP="00711F37">
            <w:pPr>
              <w:pStyle w:val="TableHeading"/>
              <w:pBdr>
                <w:bottom w:val="none" w:sz="0" w:space="0" w:color="auto"/>
              </w:pBdr>
              <w:ind w:right="0"/>
              <w:jc w:val="left"/>
              <w:rPr>
                <w:iCs/>
                <w:smallCaps w:val="0"/>
                <w:spacing w:val="0"/>
                <w:w w:val="100"/>
              </w:rPr>
            </w:pPr>
          </w:p>
        </w:tc>
        <w:tc>
          <w:tcPr>
            <w:tcW w:w="1735" w:type="dxa"/>
            <w:tcBorders>
              <w:top w:val="nil"/>
              <w:left w:val="nil"/>
              <w:bottom w:val="nil"/>
              <w:right w:val="nil"/>
            </w:tcBorders>
            <w:vAlign w:val="center"/>
          </w:tcPr>
          <w:p w14:paraId="39127FC5" w14:textId="34994964" w:rsidR="005265E1" w:rsidRDefault="001D561A" w:rsidP="005265E1">
            <w:pPr>
              <w:pStyle w:val="TableHeading"/>
              <w:pBdr>
                <w:bottom w:val="none" w:sz="0" w:space="0" w:color="auto"/>
              </w:pBdr>
              <w:ind w:right="0"/>
              <w:rPr>
                <w:iCs/>
                <w:smallCaps w:val="0"/>
                <w:spacing w:val="0"/>
                <w:w w:val="100"/>
              </w:rPr>
            </w:pPr>
            <m:oMathPara>
              <m:oMath>
                <m:sSub>
                  <m:sSubPr>
                    <m:ctrlPr>
                      <w:rPr>
                        <w:rFonts w:ascii="Cambria Math" w:hAnsi="Cambria Math"/>
                        <w:i/>
                        <w:iCs/>
                        <w:smallCaps w:val="0"/>
                        <w:spacing w:val="0"/>
                        <w:w w:val="100"/>
                      </w:rPr>
                    </m:ctrlPr>
                  </m:sSubPr>
                  <m:e>
                    <m:r>
                      <w:rPr>
                        <w:rFonts w:ascii="Cambria Math" w:hAnsi="Cambria Math"/>
                        <w:smallCaps w:val="0"/>
                        <w:spacing w:val="0"/>
                        <w:w w:val="100"/>
                      </w:rPr>
                      <m:t>h</m:t>
                    </m:r>
                  </m:e>
                  <m:sub>
                    <m:r>
                      <w:rPr>
                        <w:rFonts w:ascii="Cambria Math" w:hAnsi="Cambria Math"/>
                        <w:smallCaps w:val="0"/>
                        <w:spacing w:val="0"/>
                        <w:w w:val="100"/>
                      </w:rPr>
                      <m:t>o</m:t>
                    </m:r>
                  </m:sub>
                </m:sSub>
              </m:oMath>
            </m:oMathPara>
          </w:p>
        </w:tc>
        <w:tc>
          <w:tcPr>
            <w:tcW w:w="1902" w:type="dxa"/>
            <w:tcBorders>
              <w:top w:val="single" w:sz="4" w:space="0" w:color="auto"/>
              <w:left w:val="nil"/>
              <w:bottom w:val="nil"/>
              <w:right w:val="nil"/>
            </w:tcBorders>
            <w:vAlign w:val="center"/>
          </w:tcPr>
          <w:p w14:paraId="15BC6EDA" w14:textId="6E88B1EB" w:rsidR="005265E1" w:rsidRDefault="001D561A" w:rsidP="005265E1">
            <w:pPr>
              <w:pStyle w:val="TableHeading"/>
              <w:pBdr>
                <w:bottom w:val="none" w:sz="0" w:space="0" w:color="auto"/>
              </w:pBdr>
              <w:ind w:right="0"/>
              <w:rPr>
                <w:iCs/>
                <w:smallCaps w:val="0"/>
                <w:spacing w:val="0"/>
                <w:w w:val="100"/>
              </w:rPr>
            </w:pPr>
            <m:oMathPara>
              <m:oMath>
                <m:sSub>
                  <m:sSubPr>
                    <m:ctrlPr>
                      <w:rPr>
                        <w:rFonts w:ascii="Cambria Math" w:hAnsi="Cambria Math"/>
                        <w:i/>
                        <w:iCs/>
                        <w:smallCaps w:val="0"/>
                        <w:spacing w:val="0"/>
                        <w:w w:val="100"/>
                      </w:rPr>
                    </m:ctrlPr>
                  </m:sSubPr>
                  <m:e>
                    <m:r>
                      <w:rPr>
                        <w:rFonts w:ascii="Cambria Math" w:hAnsi="Cambria Math"/>
                        <w:smallCaps w:val="0"/>
                        <w:spacing w:val="0"/>
                        <w:w w:val="100"/>
                      </w:rPr>
                      <m:t>k</m:t>
                    </m:r>
                  </m:e>
                  <m:sub>
                    <m:r>
                      <w:rPr>
                        <w:rFonts w:ascii="Cambria Math" w:hAnsi="Cambria Math"/>
                        <w:smallCaps w:val="0"/>
                        <w:spacing w:val="0"/>
                        <w:w w:val="100"/>
                      </w:rPr>
                      <m:t>1</m:t>
                    </m:r>
                  </m:sub>
                </m:sSub>
                <m:r>
                  <w:rPr>
                    <w:rFonts w:ascii="Cambria Math" w:hAnsi="Cambria Math"/>
                    <w:smallCaps w:val="0"/>
                    <w:spacing w:val="0"/>
                    <w:w w:val="100"/>
                  </w:rPr>
                  <m:t>=$0.10</m:t>
                </m:r>
              </m:oMath>
            </m:oMathPara>
          </w:p>
        </w:tc>
        <w:tc>
          <w:tcPr>
            <w:tcW w:w="1709" w:type="dxa"/>
            <w:tcBorders>
              <w:top w:val="single" w:sz="4" w:space="0" w:color="auto"/>
              <w:left w:val="nil"/>
              <w:bottom w:val="nil"/>
              <w:right w:val="nil"/>
            </w:tcBorders>
            <w:vAlign w:val="center"/>
          </w:tcPr>
          <w:p w14:paraId="78F56334" w14:textId="4BCDB32A" w:rsidR="005265E1" w:rsidRDefault="001D561A" w:rsidP="005265E1">
            <w:pPr>
              <w:pStyle w:val="TableHeading"/>
              <w:pBdr>
                <w:bottom w:val="none" w:sz="0" w:space="0" w:color="auto"/>
              </w:pBdr>
              <w:ind w:right="0"/>
              <w:rPr>
                <w:iCs/>
                <w:smallCaps w:val="0"/>
                <w:spacing w:val="0"/>
                <w:w w:val="100"/>
              </w:rPr>
            </w:pPr>
            <m:oMathPara>
              <m:oMath>
                <m:sSub>
                  <m:sSubPr>
                    <m:ctrlPr>
                      <w:rPr>
                        <w:rFonts w:ascii="Cambria Math" w:hAnsi="Cambria Math"/>
                        <w:i/>
                        <w:iCs/>
                        <w:smallCaps w:val="0"/>
                        <w:spacing w:val="0"/>
                        <w:w w:val="100"/>
                      </w:rPr>
                    </m:ctrlPr>
                  </m:sSubPr>
                  <m:e>
                    <m:r>
                      <w:rPr>
                        <w:rFonts w:ascii="Cambria Math" w:hAnsi="Cambria Math"/>
                        <w:smallCaps w:val="0"/>
                        <w:spacing w:val="0"/>
                        <w:w w:val="100"/>
                      </w:rPr>
                      <m:t>k</m:t>
                    </m:r>
                  </m:e>
                  <m:sub>
                    <m:r>
                      <w:rPr>
                        <w:rFonts w:ascii="Cambria Math" w:hAnsi="Cambria Math"/>
                        <w:smallCaps w:val="0"/>
                        <w:spacing w:val="0"/>
                        <w:w w:val="100"/>
                      </w:rPr>
                      <m:t>1</m:t>
                    </m:r>
                  </m:sub>
                </m:sSub>
                <m:r>
                  <w:rPr>
                    <w:rFonts w:ascii="Cambria Math" w:hAnsi="Cambria Math"/>
                    <w:smallCaps w:val="0"/>
                    <w:spacing w:val="0"/>
                    <w:w w:val="100"/>
                  </w:rPr>
                  <m:t>=$0.05</m:t>
                </m:r>
              </m:oMath>
            </m:oMathPara>
          </w:p>
        </w:tc>
        <w:tc>
          <w:tcPr>
            <w:tcW w:w="1709" w:type="dxa"/>
            <w:tcBorders>
              <w:top w:val="single" w:sz="4" w:space="0" w:color="auto"/>
              <w:left w:val="nil"/>
              <w:bottom w:val="nil"/>
              <w:right w:val="nil"/>
            </w:tcBorders>
            <w:vAlign w:val="center"/>
          </w:tcPr>
          <w:p w14:paraId="78EBC310" w14:textId="389B7C33" w:rsidR="005265E1" w:rsidRDefault="001D561A" w:rsidP="005265E1">
            <w:pPr>
              <w:pStyle w:val="TableHeading"/>
              <w:pBdr>
                <w:bottom w:val="none" w:sz="0" w:space="0" w:color="auto"/>
              </w:pBdr>
              <w:ind w:right="0"/>
              <w:rPr>
                <w:iCs/>
                <w:smallCaps w:val="0"/>
                <w:spacing w:val="0"/>
                <w:w w:val="100"/>
              </w:rPr>
            </w:pPr>
            <m:oMathPara>
              <m:oMath>
                <m:sSub>
                  <m:sSubPr>
                    <m:ctrlPr>
                      <w:rPr>
                        <w:rFonts w:ascii="Cambria Math" w:hAnsi="Cambria Math"/>
                        <w:i/>
                        <w:iCs/>
                        <w:smallCaps w:val="0"/>
                        <w:spacing w:val="0"/>
                        <w:w w:val="100"/>
                      </w:rPr>
                    </m:ctrlPr>
                  </m:sSubPr>
                  <m:e>
                    <m:r>
                      <w:rPr>
                        <w:rFonts w:ascii="Cambria Math" w:hAnsi="Cambria Math"/>
                        <w:smallCaps w:val="0"/>
                        <w:spacing w:val="0"/>
                        <w:w w:val="100"/>
                      </w:rPr>
                      <m:t>k</m:t>
                    </m:r>
                  </m:e>
                  <m:sub>
                    <m:r>
                      <w:rPr>
                        <w:rFonts w:ascii="Cambria Math" w:hAnsi="Cambria Math"/>
                        <w:smallCaps w:val="0"/>
                        <w:spacing w:val="0"/>
                        <w:w w:val="100"/>
                      </w:rPr>
                      <m:t>1</m:t>
                    </m:r>
                  </m:sub>
                </m:sSub>
                <m:r>
                  <w:rPr>
                    <w:rFonts w:ascii="Cambria Math" w:hAnsi="Cambria Math"/>
                    <w:smallCaps w:val="0"/>
                    <w:spacing w:val="0"/>
                    <w:w w:val="100"/>
                  </w:rPr>
                  <m:t>=$0.00</m:t>
                </m:r>
              </m:oMath>
            </m:oMathPara>
          </w:p>
        </w:tc>
      </w:tr>
      <w:tr w:rsidR="008F5EC8" w14:paraId="1260BA71" w14:textId="42062863" w:rsidTr="005265E1">
        <w:trPr>
          <w:trHeight w:val="245"/>
        </w:trPr>
        <w:tc>
          <w:tcPr>
            <w:tcW w:w="1954" w:type="dxa"/>
            <w:tcBorders>
              <w:top w:val="single" w:sz="4" w:space="0" w:color="auto"/>
              <w:left w:val="nil"/>
              <w:bottom w:val="nil"/>
              <w:right w:val="nil"/>
            </w:tcBorders>
            <w:vAlign w:val="bottom"/>
          </w:tcPr>
          <w:p w14:paraId="027CF7FB" w14:textId="77777777" w:rsidR="008F5EC8" w:rsidRDefault="008F5EC8" w:rsidP="00711F37">
            <w:pPr>
              <w:pStyle w:val="TableHeading"/>
              <w:pBdr>
                <w:bottom w:val="none" w:sz="0" w:space="0" w:color="auto"/>
              </w:pBdr>
              <w:ind w:right="0"/>
              <w:jc w:val="left"/>
              <w:rPr>
                <w:iCs/>
                <w:smallCaps w:val="0"/>
                <w:spacing w:val="0"/>
                <w:w w:val="100"/>
              </w:rPr>
            </w:pPr>
            <w:r>
              <w:rPr>
                <w:rFonts w:eastAsia="Cambria"/>
                <w:iCs/>
                <w:smallCaps w:val="0"/>
                <w:spacing w:val="0"/>
                <w:w w:val="100"/>
              </w:rPr>
              <w:t>4,914</w:t>
            </w:r>
          </w:p>
        </w:tc>
        <w:tc>
          <w:tcPr>
            <w:tcW w:w="1735" w:type="dxa"/>
            <w:tcBorders>
              <w:top w:val="single" w:sz="4" w:space="0" w:color="auto"/>
              <w:left w:val="nil"/>
              <w:bottom w:val="nil"/>
              <w:right w:val="nil"/>
            </w:tcBorders>
            <w:vAlign w:val="bottom"/>
          </w:tcPr>
          <w:p w14:paraId="75C5CD0C" w14:textId="77777777" w:rsidR="008F5EC8" w:rsidRDefault="008F5EC8" w:rsidP="00711F37">
            <w:pPr>
              <w:pStyle w:val="TableHeading"/>
              <w:pBdr>
                <w:bottom w:val="none" w:sz="0" w:space="0" w:color="auto"/>
              </w:pBdr>
              <w:ind w:right="0"/>
              <w:rPr>
                <w:iCs/>
                <w:smallCaps w:val="0"/>
                <w:spacing w:val="0"/>
                <w:w w:val="100"/>
              </w:rPr>
            </w:pPr>
            <w:r>
              <w:rPr>
                <w:rFonts w:eastAsia="Cambria"/>
                <w:iCs/>
                <w:smallCaps w:val="0"/>
                <w:spacing w:val="0"/>
                <w:w w:val="100"/>
              </w:rPr>
              <w:t>2.035e-4</w:t>
            </w:r>
          </w:p>
        </w:tc>
        <w:tc>
          <w:tcPr>
            <w:tcW w:w="1902" w:type="dxa"/>
            <w:tcBorders>
              <w:top w:val="single" w:sz="4" w:space="0" w:color="auto"/>
              <w:left w:val="nil"/>
              <w:bottom w:val="nil"/>
              <w:right w:val="nil"/>
            </w:tcBorders>
            <w:vAlign w:val="bottom"/>
          </w:tcPr>
          <w:p w14:paraId="4058311B" w14:textId="7DC8A615" w:rsidR="008F5EC8" w:rsidRDefault="008F5EC8" w:rsidP="00711F37">
            <w:pPr>
              <w:pStyle w:val="TableHeading"/>
              <w:pBdr>
                <w:bottom w:val="none" w:sz="0" w:space="0" w:color="auto"/>
              </w:pBdr>
              <w:ind w:right="0"/>
              <w:rPr>
                <w:iCs/>
                <w:smallCaps w:val="0"/>
                <w:spacing w:val="0"/>
                <w:w w:val="100"/>
              </w:rPr>
            </w:pPr>
            <w:r>
              <w:rPr>
                <w:iCs/>
                <w:smallCaps w:val="0"/>
                <w:spacing w:val="0"/>
                <w:w w:val="100"/>
              </w:rPr>
              <w:t>0.</w:t>
            </w:r>
            <w:r w:rsidR="005265E1">
              <w:rPr>
                <w:iCs/>
                <w:smallCaps w:val="0"/>
                <w:spacing w:val="0"/>
                <w:w w:val="100"/>
              </w:rPr>
              <w:t>03</w:t>
            </w:r>
            <w:r>
              <w:rPr>
                <w:iCs/>
                <w:smallCaps w:val="0"/>
                <w:spacing w:val="0"/>
                <w:w w:val="100"/>
              </w:rPr>
              <w:t>%</w:t>
            </w:r>
          </w:p>
        </w:tc>
        <w:tc>
          <w:tcPr>
            <w:tcW w:w="1709" w:type="dxa"/>
            <w:tcBorders>
              <w:top w:val="single" w:sz="4" w:space="0" w:color="auto"/>
              <w:left w:val="nil"/>
              <w:bottom w:val="nil"/>
              <w:right w:val="nil"/>
            </w:tcBorders>
            <w:vAlign w:val="bottom"/>
          </w:tcPr>
          <w:p w14:paraId="2D9D4B1A" w14:textId="7C3AEC0A" w:rsidR="008F5EC8" w:rsidRDefault="005265E1" w:rsidP="005265E1">
            <w:pPr>
              <w:pStyle w:val="TableHeading"/>
              <w:pBdr>
                <w:bottom w:val="none" w:sz="0" w:space="0" w:color="auto"/>
              </w:pBdr>
              <w:ind w:right="0"/>
              <w:rPr>
                <w:iCs/>
                <w:smallCaps w:val="0"/>
                <w:spacing w:val="0"/>
                <w:w w:val="100"/>
              </w:rPr>
            </w:pPr>
            <w:r>
              <w:rPr>
                <w:iCs/>
                <w:smallCaps w:val="0"/>
                <w:spacing w:val="0"/>
                <w:w w:val="100"/>
              </w:rPr>
              <w:t>0.05%</w:t>
            </w:r>
          </w:p>
        </w:tc>
        <w:tc>
          <w:tcPr>
            <w:tcW w:w="1709" w:type="dxa"/>
            <w:tcBorders>
              <w:top w:val="single" w:sz="4" w:space="0" w:color="auto"/>
              <w:left w:val="nil"/>
              <w:bottom w:val="nil"/>
              <w:right w:val="nil"/>
            </w:tcBorders>
            <w:vAlign w:val="bottom"/>
          </w:tcPr>
          <w:p w14:paraId="01483B54" w14:textId="4B0BD784" w:rsidR="008F5EC8" w:rsidRDefault="005265E1" w:rsidP="005265E1">
            <w:pPr>
              <w:pStyle w:val="TableHeading"/>
              <w:pBdr>
                <w:bottom w:val="none" w:sz="0" w:space="0" w:color="auto"/>
              </w:pBdr>
              <w:ind w:right="0"/>
              <w:rPr>
                <w:iCs/>
                <w:smallCaps w:val="0"/>
                <w:spacing w:val="0"/>
                <w:w w:val="100"/>
              </w:rPr>
            </w:pPr>
            <w:r>
              <w:rPr>
                <w:iCs/>
                <w:smallCaps w:val="0"/>
                <w:spacing w:val="0"/>
                <w:w w:val="100"/>
              </w:rPr>
              <w:t>0.07%</w:t>
            </w:r>
          </w:p>
        </w:tc>
      </w:tr>
      <w:tr w:rsidR="008F5EC8" w14:paraId="60726EF4" w14:textId="4B18C56E" w:rsidTr="008F5EC8">
        <w:tc>
          <w:tcPr>
            <w:tcW w:w="1954" w:type="dxa"/>
            <w:tcBorders>
              <w:top w:val="nil"/>
              <w:left w:val="nil"/>
              <w:bottom w:val="nil"/>
              <w:right w:val="nil"/>
            </w:tcBorders>
          </w:tcPr>
          <w:p w14:paraId="23DD4E87" w14:textId="77777777" w:rsidR="008F5EC8" w:rsidRPr="00F844D5" w:rsidRDefault="008F5EC8" w:rsidP="00711F37">
            <w:pPr>
              <w:pStyle w:val="TableHeading"/>
              <w:pBdr>
                <w:bottom w:val="none" w:sz="0" w:space="0" w:color="auto"/>
              </w:pBdr>
              <w:ind w:right="0"/>
              <w:jc w:val="left"/>
              <w:rPr>
                <w:rFonts w:eastAsia="Cambria"/>
                <w:iCs/>
                <w:smallCaps w:val="0"/>
                <w:spacing w:val="0"/>
                <w:w w:val="100"/>
              </w:rPr>
            </w:pPr>
            <w:r>
              <w:rPr>
                <w:rFonts w:eastAsia="Cambria"/>
                <w:iCs/>
                <w:smallCaps w:val="0"/>
                <w:spacing w:val="0"/>
                <w:w w:val="100"/>
              </w:rPr>
              <w:t>1,638</w:t>
            </w:r>
          </w:p>
        </w:tc>
        <w:tc>
          <w:tcPr>
            <w:tcW w:w="1735" w:type="dxa"/>
            <w:tcBorders>
              <w:top w:val="nil"/>
              <w:left w:val="nil"/>
              <w:bottom w:val="nil"/>
              <w:right w:val="nil"/>
            </w:tcBorders>
          </w:tcPr>
          <w:p w14:paraId="1B74FDEF" w14:textId="77777777" w:rsidR="008F5EC8" w:rsidRPr="00F844D5" w:rsidRDefault="008F5EC8" w:rsidP="00711F37">
            <w:pPr>
              <w:pStyle w:val="TableHeading"/>
              <w:pBdr>
                <w:bottom w:val="none" w:sz="0" w:space="0" w:color="auto"/>
              </w:pBdr>
              <w:ind w:right="0"/>
              <w:rPr>
                <w:rFonts w:eastAsia="Cambria"/>
                <w:iCs/>
                <w:smallCaps w:val="0"/>
                <w:spacing w:val="0"/>
                <w:w w:val="100"/>
              </w:rPr>
            </w:pPr>
            <w:r>
              <w:rPr>
                <w:rFonts w:eastAsia="Cambria"/>
                <w:iCs/>
                <w:smallCaps w:val="0"/>
                <w:spacing w:val="0"/>
                <w:w w:val="100"/>
              </w:rPr>
              <w:t>6.105e-4</w:t>
            </w:r>
          </w:p>
        </w:tc>
        <w:tc>
          <w:tcPr>
            <w:tcW w:w="1902" w:type="dxa"/>
            <w:tcBorders>
              <w:top w:val="nil"/>
              <w:left w:val="nil"/>
              <w:bottom w:val="nil"/>
              <w:right w:val="nil"/>
            </w:tcBorders>
          </w:tcPr>
          <w:p w14:paraId="723E7098" w14:textId="1338FBB8" w:rsidR="008F5EC8" w:rsidRPr="00F844D5" w:rsidRDefault="005265E1" w:rsidP="00711F37">
            <w:pPr>
              <w:pStyle w:val="TableHeading"/>
              <w:pBdr>
                <w:bottom w:val="none" w:sz="0" w:space="0" w:color="auto"/>
              </w:pBdr>
              <w:ind w:right="0"/>
              <w:rPr>
                <w:rFonts w:eastAsia="Cambria"/>
                <w:iCs/>
                <w:smallCaps w:val="0"/>
                <w:spacing w:val="0"/>
                <w:w w:val="100"/>
              </w:rPr>
            </w:pPr>
            <w:r>
              <w:rPr>
                <w:iCs/>
                <w:smallCaps w:val="0"/>
                <w:spacing w:val="0"/>
                <w:w w:val="100"/>
              </w:rPr>
              <w:t>0.10</w:t>
            </w:r>
            <w:r w:rsidR="008F5EC8">
              <w:rPr>
                <w:iCs/>
                <w:smallCaps w:val="0"/>
                <w:spacing w:val="0"/>
                <w:w w:val="100"/>
              </w:rPr>
              <w:t>%</w:t>
            </w:r>
          </w:p>
        </w:tc>
        <w:tc>
          <w:tcPr>
            <w:tcW w:w="1709" w:type="dxa"/>
            <w:tcBorders>
              <w:top w:val="nil"/>
              <w:left w:val="nil"/>
              <w:bottom w:val="nil"/>
              <w:right w:val="nil"/>
            </w:tcBorders>
          </w:tcPr>
          <w:p w14:paraId="511B7710" w14:textId="7620BAB3" w:rsidR="008F5EC8" w:rsidRDefault="005265E1" w:rsidP="00711F37">
            <w:pPr>
              <w:pStyle w:val="TableHeading"/>
              <w:pBdr>
                <w:bottom w:val="none" w:sz="0" w:space="0" w:color="auto"/>
              </w:pBdr>
              <w:ind w:right="0"/>
              <w:rPr>
                <w:iCs/>
                <w:smallCaps w:val="0"/>
                <w:spacing w:val="0"/>
                <w:w w:val="100"/>
              </w:rPr>
            </w:pPr>
            <w:r>
              <w:rPr>
                <w:iCs/>
                <w:smallCaps w:val="0"/>
                <w:spacing w:val="0"/>
                <w:w w:val="100"/>
              </w:rPr>
              <w:t>0.15%</w:t>
            </w:r>
          </w:p>
        </w:tc>
        <w:tc>
          <w:tcPr>
            <w:tcW w:w="1709" w:type="dxa"/>
            <w:tcBorders>
              <w:top w:val="nil"/>
              <w:left w:val="nil"/>
              <w:bottom w:val="nil"/>
              <w:right w:val="nil"/>
            </w:tcBorders>
          </w:tcPr>
          <w:p w14:paraId="105AE47B" w14:textId="61AE5303" w:rsidR="008F5EC8" w:rsidRDefault="005265E1" w:rsidP="00711F37">
            <w:pPr>
              <w:pStyle w:val="TableHeading"/>
              <w:pBdr>
                <w:bottom w:val="none" w:sz="0" w:space="0" w:color="auto"/>
              </w:pBdr>
              <w:ind w:right="0"/>
              <w:rPr>
                <w:iCs/>
                <w:smallCaps w:val="0"/>
                <w:spacing w:val="0"/>
                <w:w w:val="100"/>
              </w:rPr>
            </w:pPr>
            <w:r>
              <w:rPr>
                <w:iCs/>
                <w:smallCaps w:val="0"/>
                <w:spacing w:val="0"/>
                <w:w w:val="100"/>
              </w:rPr>
              <w:t>0.20%</w:t>
            </w:r>
          </w:p>
        </w:tc>
      </w:tr>
      <w:tr w:rsidR="008F5EC8" w14:paraId="668DFA4C" w14:textId="09FC079F" w:rsidTr="008F5EC8">
        <w:tc>
          <w:tcPr>
            <w:tcW w:w="1954" w:type="dxa"/>
            <w:tcBorders>
              <w:top w:val="nil"/>
              <w:left w:val="nil"/>
              <w:bottom w:val="nil"/>
              <w:right w:val="nil"/>
            </w:tcBorders>
          </w:tcPr>
          <w:p w14:paraId="21176AAC" w14:textId="77777777" w:rsidR="008F5EC8" w:rsidRDefault="008F5EC8" w:rsidP="00711F37">
            <w:pPr>
              <w:pStyle w:val="TableHeading"/>
              <w:pBdr>
                <w:bottom w:val="none" w:sz="0" w:space="0" w:color="auto"/>
              </w:pBdr>
              <w:ind w:right="0"/>
              <w:jc w:val="left"/>
              <w:rPr>
                <w:iCs/>
                <w:smallCaps w:val="0"/>
                <w:spacing w:val="0"/>
                <w:w w:val="100"/>
              </w:rPr>
            </w:pPr>
            <w:r>
              <w:rPr>
                <w:iCs/>
                <w:smallCaps w:val="0"/>
                <w:spacing w:val="0"/>
                <w:w w:val="100"/>
              </w:rPr>
              <w:t>1,000</w:t>
            </w:r>
          </w:p>
        </w:tc>
        <w:tc>
          <w:tcPr>
            <w:tcW w:w="1735" w:type="dxa"/>
            <w:tcBorders>
              <w:top w:val="nil"/>
              <w:left w:val="nil"/>
              <w:bottom w:val="nil"/>
              <w:right w:val="nil"/>
            </w:tcBorders>
          </w:tcPr>
          <w:p w14:paraId="0B975D95" w14:textId="77777777" w:rsidR="008F5EC8" w:rsidRDefault="008F5EC8" w:rsidP="00711F37">
            <w:pPr>
              <w:pStyle w:val="TableHeading"/>
              <w:pBdr>
                <w:bottom w:val="none" w:sz="0" w:space="0" w:color="auto"/>
              </w:pBdr>
              <w:ind w:right="0"/>
              <w:rPr>
                <w:iCs/>
                <w:smallCaps w:val="0"/>
                <w:spacing w:val="0"/>
                <w:w w:val="100"/>
              </w:rPr>
            </w:pPr>
            <w:r>
              <w:rPr>
                <w:iCs/>
                <w:smallCaps w:val="0"/>
                <w:spacing w:val="0"/>
                <w:w w:val="100"/>
              </w:rPr>
              <w:t>1.000e-3</w:t>
            </w:r>
          </w:p>
        </w:tc>
        <w:tc>
          <w:tcPr>
            <w:tcW w:w="1902" w:type="dxa"/>
            <w:tcBorders>
              <w:top w:val="nil"/>
              <w:left w:val="nil"/>
              <w:bottom w:val="nil"/>
              <w:right w:val="nil"/>
            </w:tcBorders>
          </w:tcPr>
          <w:p w14:paraId="48EDD194" w14:textId="3E444C35" w:rsidR="008F5EC8" w:rsidRDefault="005265E1" w:rsidP="00711F37">
            <w:pPr>
              <w:pStyle w:val="TableHeading"/>
              <w:pBdr>
                <w:bottom w:val="none" w:sz="0" w:space="0" w:color="auto"/>
              </w:pBdr>
              <w:ind w:right="0"/>
              <w:rPr>
                <w:iCs/>
                <w:smallCaps w:val="0"/>
                <w:spacing w:val="0"/>
                <w:w w:val="100"/>
              </w:rPr>
            </w:pPr>
            <w:r>
              <w:rPr>
                <w:iCs/>
                <w:smallCaps w:val="0"/>
                <w:spacing w:val="0"/>
                <w:w w:val="100"/>
              </w:rPr>
              <w:t>0.17</w:t>
            </w:r>
            <w:r w:rsidR="008F5EC8">
              <w:rPr>
                <w:iCs/>
                <w:smallCaps w:val="0"/>
                <w:spacing w:val="0"/>
                <w:w w:val="100"/>
              </w:rPr>
              <w:t>%</w:t>
            </w:r>
          </w:p>
        </w:tc>
        <w:tc>
          <w:tcPr>
            <w:tcW w:w="1709" w:type="dxa"/>
            <w:tcBorders>
              <w:top w:val="nil"/>
              <w:left w:val="nil"/>
              <w:bottom w:val="nil"/>
              <w:right w:val="nil"/>
            </w:tcBorders>
          </w:tcPr>
          <w:p w14:paraId="736C33B4" w14:textId="66AF6FCE" w:rsidR="008F5EC8" w:rsidRDefault="005265E1" w:rsidP="00711F37">
            <w:pPr>
              <w:pStyle w:val="TableHeading"/>
              <w:pBdr>
                <w:bottom w:val="none" w:sz="0" w:space="0" w:color="auto"/>
              </w:pBdr>
              <w:ind w:right="0"/>
              <w:rPr>
                <w:iCs/>
                <w:smallCaps w:val="0"/>
                <w:spacing w:val="0"/>
                <w:w w:val="100"/>
              </w:rPr>
            </w:pPr>
            <w:r>
              <w:rPr>
                <w:iCs/>
                <w:smallCaps w:val="0"/>
                <w:spacing w:val="0"/>
                <w:w w:val="100"/>
              </w:rPr>
              <w:t>0.26%</w:t>
            </w:r>
          </w:p>
        </w:tc>
        <w:tc>
          <w:tcPr>
            <w:tcW w:w="1709" w:type="dxa"/>
            <w:tcBorders>
              <w:top w:val="nil"/>
              <w:left w:val="nil"/>
              <w:bottom w:val="nil"/>
              <w:right w:val="nil"/>
            </w:tcBorders>
          </w:tcPr>
          <w:p w14:paraId="24BD166F" w14:textId="13DE69EC" w:rsidR="008F5EC8" w:rsidRDefault="005265E1" w:rsidP="00711F37">
            <w:pPr>
              <w:pStyle w:val="TableHeading"/>
              <w:pBdr>
                <w:bottom w:val="none" w:sz="0" w:space="0" w:color="auto"/>
              </w:pBdr>
              <w:ind w:right="0"/>
              <w:rPr>
                <w:iCs/>
                <w:smallCaps w:val="0"/>
                <w:spacing w:val="0"/>
                <w:w w:val="100"/>
              </w:rPr>
            </w:pPr>
            <w:r>
              <w:rPr>
                <w:iCs/>
                <w:smallCaps w:val="0"/>
                <w:spacing w:val="0"/>
                <w:w w:val="100"/>
              </w:rPr>
              <w:t>0.34%</w:t>
            </w:r>
          </w:p>
        </w:tc>
      </w:tr>
      <w:tr w:rsidR="008F5EC8" w14:paraId="17686328" w14:textId="05127898" w:rsidTr="008F5EC8">
        <w:tc>
          <w:tcPr>
            <w:tcW w:w="1954" w:type="dxa"/>
            <w:tcBorders>
              <w:top w:val="nil"/>
              <w:left w:val="nil"/>
              <w:bottom w:val="nil"/>
              <w:right w:val="nil"/>
            </w:tcBorders>
          </w:tcPr>
          <w:p w14:paraId="6FC82626" w14:textId="77777777" w:rsidR="008F5EC8" w:rsidRDefault="008F5EC8" w:rsidP="00711F37">
            <w:pPr>
              <w:pStyle w:val="TableHeading"/>
              <w:pBdr>
                <w:bottom w:val="none" w:sz="0" w:space="0" w:color="auto"/>
              </w:pBdr>
              <w:ind w:right="0"/>
              <w:jc w:val="left"/>
              <w:rPr>
                <w:iCs/>
                <w:smallCaps w:val="0"/>
                <w:spacing w:val="0"/>
                <w:w w:val="100"/>
              </w:rPr>
            </w:pPr>
            <w:r>
              <w:rPr>
                <w:iCs/>
                <w:smallCaps w:val="0"/>
                <w:spacing w:val="0"/>
                <w:w w:val="100"/>
              </w:rPr>
              <w:t>500</w:t>
            </w:r>
          </w:p>
        </w:tc>
        <w:tc>
          <w:tcPr>
            <w:tcW w:w="1735" w:type="dxa"/>
            <w:tcBorders>
              <w:top w:val="nil"/>
              <w:left w:val="nil"/>
              <w:bottom w:val="nil"/>
              <w:right w:val="nil"/>
            </w:tcBorders>
          </w:tcPr>
          <w:p w14:paraId="1874EA1E" w14:textId="77777777" w:rsidR="008F5EC8" w:rsidRDefault="008F5EC8" w:rsidP="00711F37">
            <w:pPr>
              <w:pStyle w:val="TableHeading"/>
              <w:pBdr>
                <w:bottom w:val="none" w:sz="0" w:space="0" w:color="auto"/>
              </w:pBdr>
              <w:ind w:right="0"/>
              <w:rPr>
                <w:iCs/>
                <w:smallCaps w:val="0"/>
                <w:spacing w:val="0"/>
                <w:w w:val="100"/>
              </w:rPr>
            </w:pPr>
            <w:r>
              <w:rPr>
                <w:iCs/>
                <w:smallCaps w:val="0"/>
                <w:spacing w:val="0"/>
                <w:w w:val="100"/>
              </w:rPr>
              <w:t>2.000e-3</w:t>
            </w:r>
          </w:p>
        </w:tc>
        <w:tc>
          <w:tcPr>
            <w:tcW w:w="1902" w:type="dxa"/>
            <w:tcBorders>
              <w:top w:val="nil"/>
              <w:left w:val="nil"/>
              <w:bottom w:val="nil"/>
              <w:right w:val="nil"/>
            </w:tcBorders>
          </w:tcPr>
          <w:p w14:paraId="58462E3B" w14:textId="375DDD96" w:rsidR="008F5EC8" w:rsidRDefault="005265E1" w:rsidP="00711F37">
            <w:pPr>
              <w:pStyle w:val="TableHeading"/>
              <w:pBdr>
                <w:bottom w:val="none" w:sz="0" w:space="0" w:color="auto"/>
              </w:pBdr>
              <w:ind w:right="0"/>
              <w:rPr>
                <w:iCs/>
                <w:smallCaps w:val="0"/>
                <w:spacing w:val="0"/>
                <w:w w:val="100"/>
              </w:rPr>
            </w:pPr>
            <w:r>
              <w:rPr>
                <w:iCs/>
                <w:smallCaps w:val="0"/>
                <w:spacing w:val="0"/>
                <w:w w:val="100"/>
              </w:rPr>
              <w:t>0.38</w:t>
            </w:r>
            <w:r w:rsidR="008F5EC8">
              <w:rPr>
                <w:iCs/>
                <w:smallCaps w:val="0"/>
                <w:spacing w:val="0"/>
                <w:w w:val="100"/>
              </w:rPr>
              <w:t>%</w:t>
            </w:r>
          </w:p>
        </w:tc>
        <w:tc>
          <w:tcPr>
            <w:tcW w:w="1709" w:type="dxa"/>
            <w:tcBorders>
              <w:top w:val="nil"/>
              <w:left w:val="nil"/>
              <w:bottom w:val="nil"/>
              <w:right w:val="nil"/>
            </w:tcBorders>
          </w:tcPr>
          <w:p w14:paraId="7750EC58" w14:textId="7EDCB4E7" w:rsidR="008F5EC8" w:rsidRDefault="005265E1" w:rsidP="00711F37">
            <w:pPr>
              <w:pStyle w:val="TableHeading"/>
              <w:pBdr>
                <w:bottom w:val="none" w:sz="0" w:space="0" w:color="auto"/>
              </w:pBdr>
              <w:ind w:right="0"/>
              <w:rPr>
                <w:iCs/>
                <w:smallCaps w:val="0"/>
                <w:spacing w:val="0"/>
                <w:w w:val="100"/>
              </w:rPr>
            </w:pPr>
            <w:r>
              <w:rPr>
                <w:iCs/>
                <w:smallCaps w:val="0"/>
                <w:spacing w:val="0"/>
                <w:w w:val="100"/>
              </w:rPr>
              <w:t>0.57%</w:t>
            </w:r>
          </w:p>
        </w:tc>
        <w:tc>
          <w:tcPr>
            <w:tcW w:w="1709" w:type="dxa"/>
            <w:tcBorders>
              <w:top w:val="nil"/>
              <w:left w:val="nil"/>
              <w:bottom w:val="nil"/>
              <w:right w:val="nil"/>
            </w:tcBorders>
          </w:tcPr>
          <w:p w14:paraId="30A911A6" w14:textId="5CCCAEA1" w:rsidR="005265E1" w:rsidRDefault="005265E1" w:rsidP="005265E1">
            <w:pPr>
              <w:pStyle w:val="TableHeading"/>
              <w:pBdr>
                <w:bottom w:val="none" w:sz="0" w:space="0" w:color="auto"/>
              </w:pBdr>
              <w:ind w:right="0"/>
              <w:rPr>
                <w:iCs/>
                <w:smallCaps w:val="0"/>
                <w:spacing w:val="0"/>
                <w:w w:val="100"/>
              </w:rPr>
            </w:pPr>
            <w:r>
              <w:rPr>
                <w:iCs/>
                <w:smallCaps w:val="0"/>
                <w:spacing w:val="0"/>
                <w:w w:val="100"/>
              </w:rPr>
              <w:t>0.76%</w:t>
            </w:r>
          </w:p>
        </w:tc>
      </w:tr>
      <w:tr w:rsidR="008F5EC8" w14:paraId="1E7698F5" w14:textId="6116CA25" w:rsidTr="008F5EC8">
        <w:trPr>
          <w:trHeight w:val="245"/>
        </w:trPr>
        <w:tc>
          <w:tcPr>
            <w:tcW w:w="1954" w:type="dxa"/>
            <w:tcBorders>
              <w:top w:val="nil"/>
              <w:left w:val="nil"/>
              <w:bottom w:val="single" w:sz="4" w:space="0" w:color="auto"/>
              <w:right w:val="nil"/>
            </w:tcBorders>
          </w:tcPr>
          <w:p w14:paraId="1AB0A138" w14:textId="556F818F" w:rsidR="008F5EC8" w:rsidRPr="00F844D5" w:rsidRDefault="007D27B8" w:rsidP="00711F37">
            <w:pPr>
              <w:pStyle w:val="TableHeading"/>
              <w:pBdr>
                <w:bottom w:val="none" w:sz="0" w:space="0" w:color="auto"/>
              </w:pBdr>
              <w:ind w:right="0"/>
              <w:jc w:val="left"/>
              <w:rPr>
                <w:iCs/>
                <w:smallCaps w:val="0"/>
                <w:spacing w:val="0"/>
                <w:w w:val="100"/>
              </w:rPr>
            </w:pPr>
            <w:r>
              <w:rPr>
                <w:iCs/>
                <w:smallCaps w:val="0"/>
                <w:spacing w:val="0"/>
                <w:w w:val="100"/>
              </w:rPr>
              <w:t>150</w:t>
            </w:r>
          </w:p>
        </w:tc>
        <w:tc>
          <w:tcPr>
            <w:tcW w:w="1735" w:type="dxa"/>
            <w:tcBorders>
              <w:top w:val="nil"/>
              <w:left w:val="nil"/>
              <w:bottom w:val="single" w:sz="4" w:space="0" w:color="auto"/>
              <w:right w:val="nil"/>
            </w:tcBorders>
          </w:tcPr>
          <w:p w14:paraId="0D32B4D2" w14:textId="14727E24" w:rsidR="008F5EC8" w:rsidRPr="00F844D5" w:rsidRDefault="007D27B8" w:rsidP="00711F37">
            <w:pPr>
              <w:pStyle w:val="TableHeading"/>
              <w:pBdr>
                <w:bottom w:val="none" w:sz="0" w:space="0" w:color="auto"/>
              </w:pBdr>
              <w:ind w:right="0"/>
              <w:rPr>
                <w:iCs/>
                <w:smallCaps w:val="0"/>
                <w:spacing w:val="0"/>
                <w:w w:val="100"/>
              </w:rPr>
            </w:pPr>
            <w:r>
              <w:rPr>
                <w:iCs/>
                <w:smallCaps w:val="0"/>
                <w:spacing w:val="0"/>
                <w:w w:val="100"/>
              </w:rPr>
              <w:t>6.667e-3</w:t>
            </w:r>
          </w:p>
        </w:tc>
        <w:tc>
          <w:tcPr>
            <w:tcW w:w="1902" w:type="dxa"/>
            <w:tcBorders>
              <w:top w:val="nil"/>
              <w:left w:val="nil"/>
              <w:bottom w:val="single" w:sz="4" w:space="0" w:color="auto"/>
              <w:right w:val="nil"/>
            </w:tcBorders>
          </w:tcPr>
          <w:p w14:paraId="6D4F838D" w14:textId="4B8CFE9D" w:rsidR="008F5EC8" w:rsidRPr="00F844D5" w:rsidRDefault="005265E1" w:rsidP="00711F37">
            <w:pPr>
              <w:pStyle w:val="TableHeading"/>
              <w:pBdr>
                <w:bottom w:val="none" w:sz="0" w:space="0" w:color="auto"/>
              </w:pBdr>
              <w:ind w:right="0"/>
              <w:rPr>
                <w:iCs/>
                <w:smallCaps w:val="0"/>
                <w:spacing w:val="0"/>
                <w:w w:val="100"/>
              </w:rPr>
            </w:pPr>
            <w:r>
              <w:rPr>
                <w:rFonts w:eastAsia="Cambria"/>
                <w:iCs/>
                <w:smallCaps w:val="0"/>
                <w:spacing w:val="0"/>
                <w:w w:val="100"/>
              </w:rPr>
              <w:t>2.33</w:t>
            </w:r>
            <w:r w:rsidR="008F5EC8">
              <w:rPr>
                <w:rFonts w:eastAsia="Cambria"/>
                <w:iCs/>
                <w:smallCaps w:val="0"/>
                <w:spacing w:val="0"/>
                <w:w w:val="100"/>
              </w:rPr>
              <w:t>%</w:t>
            </w:r>
          </w:p>
        </w:tc>
        <w:tc>
          <w:tcPr>
            <w:tcW w:w="1709" w:type="dxa"/>
            <w:tcBorders>
              <w:top w:val="nil"/>
              <w:left w:val="nil"/>
              <w:bottom w:val="single" w:sz="4" w:space="0" w:color="auto"/>
              <w:right w:val="nil"/>
            </w:tcBorders>
          </w:tcPr>
          <w:p w14:paraId="5500E263" w14:textId="25CD395C" w:rsidR="008F5EC8" w:rsidRDefault="005265E1" w:rsidP="00711F37">
            <w:pPr>
              <w:pStyle w:val="TableHeading"/>
              <w:pBdr>
                <w:bottom w:val="none" w:sz="0" w:space="0" w:color="auto"/>
              </w:pBdr>
              <w:ind w:right="0"/>
              <w:rPr>
                <w:iCs/>
                <w:smallCaps w:val="0"/>
                <w:spacing w:val="0"/>
                <w:w w:val="100"/>
              </w:rPr>
            </w:pPr>
            <w:r>
              <w:rPr>
                <w:iCs/>
                <w:smallCaps w:val="0"/>
                <w:spacing w:val="0"/>
                <w:w w:val="100"/>
              </w:rPr>
              <w:t>3.53%</w:t>
            </w:r>
          </w:p>
        </w:tc>
        <w:tc>
          <w:tcPr>
            <w:tcW w:w="1709" w:type="dxa"/>
            <w:tcBorders>
              <w:top w:val="nil"/>
              <w:left w:val="nil"/>
              <w:bottom w:val="single" w:sz="4" w:space="0" w:color="auto"/>
              <w:right w:val="nil"/>
            </w:tcBorders>
          </w:tcPr>
          <w:p w14:paraId="4255DA2A" w14:textId="11367797" w:rsidR="008F5EC8" w:rsidRDefault="005265E1" w:rsidP="00711F37">
            <w:pPr>
              <w:pStyle w:val="TableHeading"/>
              <w:pBdr>
                <w:bottom w:val="none" w:sz="0" w:space="0" w:color="auto"/>
              </w:pBdr>
              <w:ind w:right="0"/>
              <w:rPr>
                <w:iCs/>
                <w:smallCaps w:val="0"/>
                <w:spacing w:val="0"/>
                <w:w w:val="100"/>
              </w:rPr>
            </w:pPr>
            <w:r>
              <w:rPr>
                <w:iCs/>
                <w:smallCaps w:val="0"/>
                <w:spacing w:val="0"/>
                <w:w w:val="100"/>
              </w:rPr>
              <w:t>4.76%</w:t>
            </w:r>
          </w:p>
        </w:tc>
      </w:tr>
    </w:tbl>
    <w:p w14:paraId="3603F940" w14:textId="073EF55C" w:rsidR="008F5EC8" w:rsidRPr="0099628A" w:rsidRDefault="008F5EC8" w:rsidP="008F5EC8">
      <w:pPr>
        <w:pStyle w:val="TableNotes"/>
      </w:pPr>
      <w:r>
        <w:rPr>
          <w:i/>
          <w:iCs/>
        </w:rPr>
        <w:t>Notes:</w:t>
      </w:r>
      <w:r>
        <w:t xml:space="preserve"> </w:t>
      </w:r>
      <w:r w:rsidR="00602C4B">
        <w:t>See previous table for rationales for cost-effectiveness measures.</w:t>
      </w:r>
      <w:r>
        <w:t xml:space="preserve"> </w:t>
      </w:r>
      <w:r w:rsidR="00602C4B">
        <w:t xml:space="preserve">The second column is the reciprocal of the first. </w:t>
      </w:r>
      <w:r>
        <w:t xml:space="preserve">The last </w:t>
      </w:r>
      <w:r w:rsidR="00602C4B">
        <w:t xml:space="preserve">three columns </w:t>
      </w:r>
      <w:r>
        <w:t xml:space="preserve">substitute the </w:t>
      </w:r>
      <w:r w:rsidR="00602C4B">
        <w:t xml:space="preserve">respective values of </w:t>
      </w:r>
      <m:oMath>
        <m:sSub>
          <m:sSubPr>
            <m:ctrlPr>
              <w:rPr>
                <w:rFonts w:ascii="Cambria Math" w:hAnsi="Cambria Math"/>
                <w:i/>
              </w:rPr>
            </m:ctrlPr>
          </m:sSubPr>
          <m:e>
            <m:r>
              <w:rPr>
                <w:rFonts w:ascii="Cambria Math" w:hAnsi="Cambria Math"/>
              </w:rPr>
              <m:t>h</m:t>
            </m:r>
          </m:e>
          <m:sub>
            <m:r>
              <w:rPr>
                <w:rFonts w:ascii="Cambria Math" w:hAnsi="Cambria Math"/>
              </w:rPr>
              <m:t>o</m:t>
            </m:r>
          </m:sub>
        </m:sSub>
      </m:oMath>
      <w:r w:rsidR="00602C4B">
        <w:t xml:space="preserve"> and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602C4B">
        <w:t xml:space="preserve"> into </w:t>
      </w:r>
      <w:r>
        <w:t>third column into expression (</w:t>
      </w:r>
      <w:r w:rsidR="00602C4B">
        <w:t>7</w:t>
      </w:r>
      <w:r>
        <w:t xml:space="preserve">). </w:t>
      </w:r>
    </w:p>
    <w:p w14:paraId="65441CDC" w14:textId="77777777" w:rsidR="00391E57" w:rsidRDefault="00391E57" w:rsidP="00391E57">
      <w:pPr>
        <w:rPr>
          <w:rFonts w:eastAsia="Calibri"/>
        </w:rPr>
      </w:pPr>
    </w:p>
    <w:p w14:paraId="2F384F4A" w14:textId="77777777" w:rsidR="004A4358" w:rsidRDefault="004A4358" w:rsidP="0029543E">
      <w:pPr>
        <w:ind w:firstLine="0"/>
        <w:rPr>
          <w:i/>
          <w:iCs/>
        </w:rPr>
      </w:pPr>
      <w:bookmarkStart w:id="13" w:name="_pjrbnrpbjddu" w:colFirst="0" w:colLast="0"/>
      <w:bookmarkEnd w:id="13"/>
    </w:p>
    <w:p w14:paraId="36DC1462" w14:textId="428B80D3" w:rsidR="0049212C" w:rsidRDefault="004A4358" w:rsidP="00253735">
      <w:pPr>
        <w:ind w:firstLine="0"/>
      </w:pPr>
      <w:r>
        <w:rPr>
          <w:i/>
          <w:iCs/>
        </w:rPr>
        <w:t xml:space="preserve">Speeding Rollout in Populous </w:t>
      </w:r>
      <w:proofErr w:type="gramStart"/>
      <w:r>
        <w:rPr>
          <w:i/>
          <w:iCs/>
        </w:rPr>
        <w:t>Countries</w:t>
      </w:r>
      <w:r w:rsidR="0029543E">
        <w:rPr>
          <w:i/>
          <w:iCs/>
        </w:rPr>
        <w:t>.—</w:t>
      </w:r>
      <w:proofErr w:type="gramEnd"/>
      <w:r w:rsidR="0029543E" w:rsidRPr="00B57A55">
        <w:rPr>
          <w:rFonts w:eastAsia="Calibri"/>
        </w:rPr>
        <w:t xml:space="preserve"> </w:t>
      </w:r>
      <w:r w:rsidR="0049212C">
        <w:rPr>
          <w:rFonts w:eastAsia="Calibri"/>
        </w:rPr>
        <w:t xml:space="preserve">According to </w:t>
      </w:r>
      <w:r w:rsidR="00253735" w:rsidRPr="00253735">
        <w:rPr>
          <w:rFonts w:eastAsia="Calibri"/>
        </w:rPr>
        <w:t>Table 3</w:t>
      </w:r>
      <w:r w:rsidR="0049212C">
        <w:rPr>
          <w:rFonts w:eastAsia="Calibri"/>
        </w:rPr>
        <w:t xml:space="preserve">, </w:t>
      </w:r>
      <w:r w:rsidR="00253735" w:rsidRPr="00253735">
        <w:rPr>
          <w:rFonts w:eastAsia="Calibri"/>
        </w:rPr>
        <w:t>reducing co-payments to zero would be justified if this increase</w:t>
      </w:r>
      <w:r w:rsidR="00253735">
        <w:rPr>
          <w:rFonts w:eastAsia="Calibri"/>
        </w:rPr>
        <w:t>d</w:t>
      </w:r>
      <w:r w:rsidR="00253735" w:rsidRPr="00253735">
        <w:rPr>
          <w:rFonts w:eastAsia="Calibri"/>
        </w:rPr>
        <w:t xml:space="preserve"> </w:t>
      </w:r>
      <w:r w:rsidR="00253735">
        <w:rPr>
          <w:rFonts w:eastAsia="Calibri"/>
        </w:rPr>
        <w:t xml:space="preserve">the </w:t>
      </w:r>
      <w:r w:rsidR="00253735" w:rsidRPr="00253735">
        <w:rPr>
          <w:rFonts w:eastAsia="Calibri"/>
        </w:rPr>
        <w:t>number of children vaccinated</w:t>
      </w:r>
      <w:r w:rsidR="00253735">
        <w:rPr>
          <w:rFonts w:eastAsia="Calibri"/>
        </w:rPr>
        <w:t xml:space="preserve"> by a mere 4.76% even using </w:t>
      </w:r>
      <w:r w:rsidR="0049212C">
        <w:rPr>
          <w:rFonts w:eastAsia="Calibri"/>
        </w:rPr>
        <w:t>the cost effectiveness in the last row for the alternative intervention (</w:t>
      </w:r>
      <w:r w:rsidR="00253735">
        <w:rPr>
          <w:rFonts w:eastAsia="Calibri"/>
        </w:rPr>
        <w:t>$150/DALY</w:t>
      </w:r>
      <w:r w:rsidR="0049212C">
        <w:rPr>
          <w:rFonts w:eastAsia="Calibri"/>
        </w:rPr>
        <w:t>)</w:t>
      </w:r>
      <w:r w:rsidR="00253735">
        <w:rPr>
          <w:rFonts w:eastAsia="Calibri"/>
        </w:rPr>
        <w:t xml:space="preserve">. </w:t>
      </w:r>
      <w:r w:rsidR="00253735" w:rsidRPr="00253735">
        <w:t xml:space="preserve">To provide further context for </w:t>
      </w:r>
      <w:r w:rsidR="00253735">
        <w:t xml:space="preserve">this </w:t>
      </w:r>
      <w:r w:rsidR="00253735" w:rsidRPr="00253735">
        <w:t xml:space="preserve">result, </w:t>
      </w:r>
      <w:r w:rsidR="001D656A">
        <w:t xml:space="preserve">we will analyze conditions under which </w:t>
      </w:r>
      <w:r w:rsidR="0049212C">
        <w:t xml:space="preserve">lowering the copayment would have been justified if it </w:t>
      </w:r>
      <w:r w:rsidR="00DB3178">
        <w:t xml:space="preserve">encouraged </w:t>
      </w:r>
      <w:r w:rsidR="0049212C">
        <w:t xml:space="preserve">take up by populous countries like India and Bangladesh, which were late adopters under the AMC program. </w:t>
      </w:r>
    </w:p>
    <w:p w14:paraId="12B22F2B" w14:textId="19F6F4A2" w:rsidR="00865046" w:rsidRDefault="0049212C" w:rsidP="0049212C">
      <w:r>
        <w:t xml:space="preserve">Start with India, which did not participate in the AMC program until 2017 and then only in five states. The potential for market expansion can be gauged from </w:t>
      </w:r>
      <w:r w:rsidR="00865046">
        <w:t xml:space="preserve">India’s </w:t>
      </w:r>
      <w:r>
        <w:t xml:space="preserve">experience </w:t>
      </w:r>
      <w:r w:rsidR="00865046">
        <w:t xml:space="preserve">with </w:t>
      </w:r>
      <w:r>
        <w:t xml:space="preserve">the </w:t>
      </w:r>
      <w:proofErr w:type="spellStart"/>
      <w:r>
        <w:t>HiB</w:t>
      </w:r>
      <w:proofErr w:type="spellEnd"/>
      <w:r>
        <w:t xml:space="preserve"> </w:t>
      </w:r>
      <w:r>
        <w:lastRenderedPageBreak/>
        <w:t>vaccine</w:t>
      </w:r>
      <w:r w:rsidR="00865046">
        <w:t xml:space="preserve">, introduced with GAVI support in 2013 in India. By our calculations, 79 million Indian children were immunized against </w:t>
      </w:r>
      <w:proofErr w:type="spellStart"/>
      <w:r w:rsidR="00865046">
        <w:t>HiB</w:t>
      </w:r>
      <w:proofErr w:type="spellEnd"/>
      <w:r w:rsidR="00865046">
        <w:t xml:space="preserve"> by 2018. </w:t>
      </w:r>
      <w:proofErr w:type="gramStart"/>
      <w:r w:rsidR="00865046">
        <w:t xml:space="preserve">Assuming </w:t>
      </w:r>
      <w:r w:rsidR="00DB3178">
        <w:t>that</w:t>
      </w:r>
      <w:proofErr w:type="gramEnd"/>
      <w:r w:rsidR="00DB3178">
        <w:t xml:space="preserve"> the </w:t>
      </w:r>
      <w:r w:rsidR="00865046">
        <w:t>coverage of PCV in India</w:t>
      </w:r>
      <w:r w:rsidR="00DB3178">
        <w:t xml:space="preserve"> were similar</w:t>
      </w:r>
      <w:r w:rsidR="00865046">
        <w:t xml:space="preserve">, adding India to the program would </w:t>
      </w:r>
      <w:r w:rsidR="00DB3178">
        <w:t xml:space="preserve">have expanded the AMC </w:t>
      </w:r>
      <w:r w:rsidR="00865046">
        <w:t xml:space="preserve">market </w:t>
      </w:r>
      <w:r w:rsidR="00DB3178">
        <w:t xml:space="preserve">by </w:t>
      </w:r>
      <w:r w:rsidR="00865046">
        <w:t>5</w:t>
      </w:r>
      <w:r w:rsidR="00DB3178">
        <w:t>3</w:t>
      </w:r>
      <w:r w:rsidR="00865046">
        <w:t>% over the 143 million immunization</w:t>
      </w:r>
      <w:r w:rsidR="00DB3178">
        <w:t>s</w:t>
      </w:r>
      <w:r w:rsidR="00865046">
        <w:t xml:space="preserve"> </w:t>
      </w:r>
      <w:r w:rsidR="00DB3178">
        <w:t xml:space="preserve">administered under the </w:t>
      </w:r>
      <w:r w:rsidR="00865046">
        <w:t>program by 2018.</w:t>
      </w:r>
    </w:p>
    <w:p w14:paraId="5F5E3E82" w14:textId="6EF7F3B8" w:rsidR="00253735" w:rsidRPr="0049212C" w:rsidRDefault="007F53FA" w:rsidP="0049212C">
      <w:r>
        <w:t xml:space="preserve">This 53% market </w:t>
      </w:r>
      <w:r w:rsidR="00865046">
        <w:t>expansion surpass</w:t>
      </w:r>
      <w:r w:rsidR="008A10EA">
        <w:t>es</w:t>
      </w:r>
      <w:r>
        <w:t xml:space="preserve"> </w:t>
      </w:r>
      <w:r w:rsidR="00865046">
        <w:t xml:space="preserve">the 4.76% </w:t>
      </w:r>
      <w:r>
        <w:t>threshold by such a large margin that</w:t>
      </w:r>
      <w:r w:rsidR="00865046">
        <w:t xml:space="preserve"> </w:t>
      </w:r>
      <w:r w:rsidR="008A10EA">
        <w:t xml:space="preserve">the copayment reduction would </w:t>
      </w:r>
      <w:r>
        <w:t xml:space="preserve">be </w:t>
      </w:r>
      <w:r w:rsidR="008A10EA">
        <w:t xml:space="preserve">justified even </w:t>
      </w:r>
      <w:r>
        <w:t xml:space="preserve">the expansion into the India market were uncertain, with a probability as low as 9% (where </w:t>
      </w:r>
      <m:oMath>
        <m:r>
          <w:rPr>
            <w:rFonts w:ascii="Cambria Math" w:hAnsi="Cambria Math"/>
          </w:rPr>
          <m:t>9%=4.76%÷53%</m:t>
        </m:r>
      </m:oMath>
      <w:r>
        <w:t>)</w:t>
      </w:r>
      <w:r w:rsidR="00253735" w:rsidRPr="00253735">
        <w:t xml:space="preserve">. </w:t>
      </w:r>
      <w:r w:rsidR="00151BC7">
        <w:t xml:space="preserve">This is true even though the expansion is limited to one country but </w:t>
      </w:r>
      <w:r w:rsidR="005E0F5A">
        <w:t xml:space="preserve">extra cost per dose to make up for </w:t>
      </w:r>
      <w:r w:rsidR="00151BC7">
        <w:t xml:space="preserve">the reduced copayment </w:t>
      </w:r>
      <w:r w:rsidR="005E0F5A">
        <w:t xml:space="preserve">is paid in all countries and across all periods in the model. </w:t>
      </w:r>
    </w:p>
    <w:p w14:paraId="3D90F13F" w14:textId="3DF3F244" w:rsidR="00253735" w:rsidRPr="00253735" w:rsidRDefault="00253735" w:rsidP="008A10EA">
      <w:r w:rsidRPr="00253735">
        <w:t xml:space="preserve">India rolled out </w:t>
      </w:r>
      <w:r w:rsidR="00BB1A76">
        <w:t xml:space="preserve">PCV </w:t>
      </w:r>
      <w:r w:rsidRPr="00253735">
        <w:t xml:space="preserve">in five states in 2017. </w:t>
      </w:r>
      <w:r w:rsidR="00151BC7">
        <w:t>C</w:t>
      </w:r>
      <w:r w:rsidR="008A10EA">
        <w:t xml:space="preserve">alculations </w:t>
      </w:r>
      <w:r w:rsidR="00151BC7">
        <w:t xml:space="preserve">similar to those above </w:t>
      </w:r>
      <w:r w:rsidR="00DB3178">
        <w:t>can be used to show</w:t>
      </w:r>
      <w:r w:rsidR="008A10EA">
        <w:t xml:space="preserve"> that </w:t>
      </w:r>
      <w:r w:rsidRPr="00253735">
        <w:t xml:space="preserve">if </w:t>
      </w:r>
      <w:r w:rsidR="008A10EA">
        <w:t xml:space="preserve">reducing the </w:t>
      </w:r>
      <w:r w:rsidRPr="00253735">
        <w:t xml:space="preserve">copayment </w:t>
      </w:r>
      <w:r w:rsidR="008A10EA">
        <w:t xml:space="preserve">to zero </w:t>
      </w:r>
      <w:r w:rsidRPr="00253735">
        <w:t>would have</w:t>
      </w:r>
      <w:r w:rsidR="00A95C83">
        <w:t xml:space="preserve"> induced </w:t>
      </w:r>
      <w:r w:rsidR="00A95C83" w:rsidRPr="00253735">
        <w:t xml:space="preserve">India </w:t>
      </w:r>
      <w:r w:rsidR="00A95C83">
        <w:t xml:space="preserve">to roll out PCV </w:t>
      </w:r>
      <w:r w:rsidR="00A95C83" w:rsidRPr="00253735">
        <w:t>three years earlier</w:t>
      </w:r>
      <w:r w:rsidR="00A95C83">
        <w:t xml:space="preserve"> in those five states</w:t>
      </w:r>
      <w:r w:rsidR="00A95C83" w:rsidRPr="00253735">
        <w:t xml:space="preserve">, this alone would justify </w:t>
      </w:r>
      <w:r w:rsidR="00A95C83">
        <w:t xml:space="preserve">the extra cost (indeed, even if this market expansion were only </w:t>
      </w:r>
      <w:r w:rsidRPr="00253735">
        <w:t xml:space="preserve">88% </w:t>
      </w:r>
      <w:r w:rsidR="00A95C83">
        <w:t xml:space="preserve">certain). </w:t>
      </w:r>
    </w:p>
    <w:p w14:paraId="2CB3AB29" w14:textId="1080E90A" w:rsidR="004A4358" w:rsidRDefault="008A10EA" w:rsidP="008A10EA">
      <w:r>
        <w:t>Turn to</w:t>
      </w:r>
      <w:r w:rsidR="00253735" w:rsidRPr="00253735">
        <w:t xml:space="preserve"> Bangladesh</w:t>
      </w:r>
      <w:r>
        <w:t xml:space="preserve">, which did not </w:t>
      </w:r>
      <w:r w:rsidR="00253735" w:rsidRPr="00253735">
        <w:t xml:space="preserve">introduce PCV </w:t>
      </w:r>
      <w:r>
        <w:t xml:space="preserve">until </w:t>
      </w:r>
      <w:r w:rsidR="00253735" w:rsidRPr="00253735">
        <w:t xml:space="preserve">2015. If a copayment of zero would have </w:t>
      </w:r>
      <w:r w:rsidR="00A95C83">
        <w:t xml:space="preserve">induced </w:t>
      </w:r>
      <w:r w:rsidR="00253735" w:rsidRPr="00253735">
        <w:t xml:space="preserve">Bangladesh </w:t>
      </w:r>
      <w:r w:rsidR="00A95C83">
        <w:t xml:space="preserve">to </w:t>
      </w:r>
      <w:r w:rsidR="00253735" w:rsidRPr="00253735">
        <w:t>introduc</w:t>
      </w:r>
      <w:r w:rsidR="00A95C83">
        <w:t>e</w:t>
      </w:r>
      <w:r w:rsidR="00253735" w:rsidRPr="00253735">
        <w:t xml:space="preserve"> the vaccine </w:t>
      </w:r>
      <w:r>
        <w:t xml:space="preserve">three years earlier, </w:t>
      </w:r>
      <w:r w:rsidR="00253735" w:rsidRPr="00253735">
        <w:t>in 2012, this alone would justify the extra cost</w:t>
      </w:r>
      <w:r w:rsidR="00A95C83">
        <w:t xml:space="preserve"> (indeed, even if this market expansion were only 82% certain)</w:t>
      </w:r>
      <w:r>
        <w:t>.</w:t>
      </w:r>
    </w:p>
    <w:p w14:paraId="1270D59E" w14:textId="77777777" w:rsidR="004A4358" w:rsidRDefault="004A4358" w:rsidP="004A4358">
      <w:pPr>
        <w:ind w:firstLine="0"/>
        <w:rPr>
          <w:i/>
          <w:iCs/>
        </w:rPr>
      </w:pPr>
    </w:p>
    <w:p w14:paraId="03BA0BD4" w14:textId="19350B65" w:rsidR="004A4358" w:rsidRPr="00BB1A76" w:rsidRDefault="004A4358" w:rsidP="004A4358">
      <w:pPr>
        <w:ind w:firstLine="0"/>
        <w:rPr>
          <w:i/>
          <w:iCs/>
        </w:rPr>
      </w:pPr>
      <w:r w:rsidRPr="004A4358">
        <w:rPr>
          <w:i/>
          <w:iCs/>
        </w:rPr>
        <w:t>Copayments</w:t>
      </w:r>
      <w:r>
        <w:rPr>
          <w:i/>
          <w:iCs/>
        </w:rPr>
        <w:t xml:space="preserve"> by </w:t>
      </w:r>
      <w:proofErr w:type="gramStart"/>
      <w:r>
        <w:rPr>
          <w:i/>
          <w:iCs/>
        </w:rPr>
        <w:t>Vintage.—</w:t>
      </w:r>
      <w:proofErr w:type="gramEnd"/>
      <w:r w:rsidRPr="00B57A55">
        <w:rPr>
          <w:rFonts w:eastAsia="Calibri"/>
        </w:rPr>
        <w:t xml:space="preserve"> </w:t>
      </w:r>
      <w:r>
        <w:rPr>
          <w:rFonts w:eastAsia="Calibri"/>
        </w:rPr>
        <w:t>H</w:t>
      </w:r>
      <w:r w:rsidRPr="00B57A55">
        <w:rPr>
          <w:rFonts w:eastAsia="Calibri"/>
        </w:rPr>
        <w:t xml:space="preserve">aving a lower copayment for new, more expensive vaccines than for older, cheaper vaccines may feel counterintuitive. Yet, countries </w:t>
      </w:r>
      <w:r>
        <w:rPr>
          <w:rFonts w:eastAsia="Calibri"/>
        </w:rPr>
        <w:t xml:space="preserve">may </w:t>
      </w:r>
      <w:r w:rsidRPr="00B57A55">
        <w:rPr>
          <w:rFonts w:eastAsia="Calibri"/>
        </w:rPr>
        <w:t xml:space="preserve">arguably have </w:t>
      </w:r>
      <w:r w:rsidR="00023B07">
        <w:rPr>
          <w:rFonts w:eastAsia="Calibri"/>
        </w:rPr>
        <w:t xml:space="preserve">a </w:t>
      </w:r>
      <w:r w:rsidRPr="00B57A55">
        <w:rPr>
          <w:rFonts w:eastAsia="Calibri"/>
        </w:rPr>
        <w:t xml:space="preserve">greater elasticity of demand for newer vaccines than older ones because policymaking is subject to status quo bias </w:t>
      </w:r>
      <w:r>
        <w:rPr>
          <w:rFonts w:eastAsia="Calibri"/>
        </w:rPr>
        <w:t>and</w:t>
      </w:r>
      <w:r w:rsidRPr="00B57A55">
        <w:rPr>
          <w:rFonts w:eastAsia="Calibri"/>
        </w:rPr>
        <w:t xml:space="preserve"> inertia. It may </w:t>
      </w:r>
      <w:r w:rsidR="00023B07">
        <w:rPr>
          <w:rFonts w:eastAsia="Calibri"/>
        </w:rPr>
        <w:t xml:space="preserve">thus </w:t>
      </w:r>
      <w:r w:rsidRPr="00B57A55">
        <w:rPr>
          <w:rFonts w:eastAsia="Calibri"/>
        </w:rPr>
        <w:t>make sense to introduce new vaccines with a “free sample” policy.</w:t>
      </w:r>
    </w:p>
    <w:p w14:paraId="2ACF8DFB" w14:textId="77777777" w:rsidR="004A4358" w:rsidRDefault="004A4358" w:rsidP="004A4358">
      <w:pPr>
        <w:ind w:firstLine="0"/>
        <w:rPr>
          <w:rFonts w:eastAsia="Calibri"/>
        </w:rPr>
      </w:pPr>
      <w:bookmarkStart w:id="14" w:name="_18zn8mhkpad6" w:colFirst="0" w:colLast="0"/>
      <w:bookmarkStart w:id="15" w:name="_Hlk31627011"/>
      <w:bookmarkEnd w:id="14"/>
    </w:p>
    <w:p w14:paraId="3592B62D" w14:textId="7DBF3134" w:rsidR="00670D76" w:rsidRPr="004A4358" w:rsidRDefault="00670D76" w:rsidP="004A4358">
      <w:pPr>
        <w:ind w:firstLine="0"/>
      </w:pPr>
      <w:r w:rsidRPr="004A4358">
        <w:rPr>
          <w:i/>
          <w:iCs/>
        </w:rPr>
        <w:t xml:space="preserve">Copayments as </w:t>
      </w:r>
      <w:r w:rsidR="00391E57" w:rsidRPr="004A4358">
        <w:rPr>
          <w:i/>
          <w:iCs/>
        </w:rPr>
        <w:t xml:space="preserve">Market </w:t>
      </w:r>
      <w:r w:rsidR="005A24B4" w:rsidRPr="004A4358">
        <w:rPr>
          <w:i/>
          <w:iCs/>
        </w:rPr>
        <w:t>T</w:t>
      </w:r>
      <w:r w:rsidR="00391E57" w:rsidRPr="004A4358">
        <w:rPr>
          <w:i/>
          <w:iCs/>
        </w:rPr>
        <w:t>est</w:t>
      </w:r>
      <w:r w:rsidR="004A4358">
        <w:rPr>
          <w:i/>
          <w:iCs/>
        </w:rPr>
        <w:t>.—</w:t>
      </w:r>
      <w:r w:rsidR="004A4358" w:rsidRPr="00B57A55">
        <w:rPr>
          <w:rFonts w:eastAsia="Calibri"/>
        </w:rPr>
        <w:t xml:space="preserve"> </w:t>
      </w:r>
      <w:bookmarkEnd w:id="15"/>
      <w:r w:rsidR="00391E57" w:rsidRPr="00D12FE3">
        <w:rPr>
          <w:rFonts w:eastAsia="Calibri"/>
        </w:rPr>
        <w:t xml:space="preserve">As well as </w:t>
      </w:r>
      <w:r w:rsidR="005A24B4">
        <w:rPr>
          <w:rFonts w:eastAsia="Calibri"/>
        </w:rPr>
        <w:t xml:space="preserve">contributing </w:t>
      </w:r>
      <w:r w:rsidR="00391E57" w:rsidRPr="00D12FE3">
        <w:rPr>
          <w:rFonts w:eastAsia="Calibri"/>
        </w:rPr>
        <w:t xml:space="preserve">financing, copayments </w:t>
      </w:r>
      <w:r w:rsidR="005A24B4">
        <w:rPr>
          <w:rFonts w:eastAsia="Calibri"/>
        </w:rPr>
        <w:t xml:space="preserve">have another function, providing </w:t>
      </w:r>
      <w:r w:rsidR="00391E57" w:rsidRPr="00D12FE3">
        <w:rPr>
          <w:rFonts w:eastAsia="Calibri"/>
        </w:rPr>
        <w:t>a “market test” for the AMC. This mitigates the problem of incomplete contracting when specifying the target of the AMC</w:t>
      </w:r>
      <w:r>
        <w:rPr>
          <w:rFonts w:eastAsia="Calibri"/>
        </w:rPr>
        <w:t xml:space="preserve"> well in advance of production. If </w:t>
      </w:r>
      <w:r w:rsidR="00391E57" w:rsidRPr="00D12FE3">
        <w:rPr>
          <w:rFonts w:eastAsia="Calibri"/>
        </w:rPr>
        <w:t xml:space="preserve">countries do not value the product when it is developed, </w:t>
      </w:r>
      <w:r>
        <w:rPr>
          <w:rFonts w:eastAsia="Calibri"/>
        </w:rPr>
        <w:t>no funds need to be expended under the AMC program</w:t>
      </w:r>
      <w:r w:rsidR="00391E57" w:rsidRPr="00D12FE3">
        <w:rPr>
          <w:rFonts w:eastAsia="Calibri"/>
        </w:rPr>
        <w:t>.</w:t>
      </w:r>
    </w:p>
    <w:p w14:paraId="6B133E25" w14:textId="4524CA77" w:rsidR="00670D76" w:rsidRDefault="00391E57" w:rsidP="00670D76">
      <w:pPr>
        <w:rPr>
          <w:rFonts w:eastAsia="Calibri"/>
        </w:rPr>
      </w:pPr>
      <w:r w:rsidRPr="00D12FE3">
        <w:rPr>
          <w:rFonts w:eastAsia="Calibri"/>
        </w:rPr>
        <w:t xml:space="preserve">Reducing the co-payment to zero removes this market test. A small copayment might therefore be beneficial, even if it is not justified </w:t>
      </w:r>
      <w:r w:rsidR="00670D76">
        <w:rPr>
          <w:rFonts w:eastAsia="Calibri"/>
        </w:rPr>
        <w:t>by the calculations along the lines of Table 3</w:t>
      </w:r>
      <w:r w:rsidRPr="00D12FE3">
        <w:rPr>
          <w:rFonts w:eastAsia="Calibri"/>
        </w:rPr>
        <w:t xml:space="preserve">. </w:t>
      </w:r>
    </w:p>
    <w:p w14:paraId="357BD0A6" w14:textId="77777777" w:rsidR="00670D76" w:rsidRDefault="00670D76" w:rsidP="00670D76">
      <w:pPr>
        <w:rPr>
          <w:rFonts w:eastAsia="Calibri"/>
        </w:rPr>
      </w:pPr>
      <w:r>
        <w:rPr>
          <w:rFonts w:eastAsia="Calibri"/>
        </w:rPr>
        <w:t>T</w:t>
      </w:r>
      <w:r w:rsidR="00391E57" w:rsidRPr="00D12FE3">
        <w:rPr>
          <w:rFonts w:eastAsia="Calibri"/>
        </w:rPr>
        <w:t xml:space="preserve">he market test is more important for technologically </w:t>
      </w:r>
      <w:r>
        <w:rPr>
          <w:rFonts w:eastAsia="Calibri"/>
        </w:rPr>
        <w:t xml:space="preserve">distant </w:t>
      </w:r>
      <w:r w:rsidR="00391E57" w:rsidRPr="00D12FE3">
        <w:rPr>
          <w:rFonts w:eastAsia="Calibri"/>
        </w:rPr>
        <w:t xml:space="preserve">products, because it is both more difficult to specify their characteristics, and because the problem they intend to solve might not be there in future. For instance, an AMC for a malaria vaccine might stimulate the production of that vaccine. However, if malaria-carrying mosquitos </w:t>
      </w:r>
      <w:r>
        <w:rPr>
          <w:rFonts w:eastAsia="Calibri"/>
        </w:rPr>
        <w:t xml:space="preserve">are rendered </w:t>
      </w:r>
      <w:r w:rsidR="00391E57" w:rsidRPr="00D12FE3">
        <w:rPr>
          <w:rFonts w:eastAsia="Calibri"/>
        </w:rPr>
        <w:t xml:space="preserve">extinct using genetic modification, then even a very good malaria vaccine will no longer be useful. </w:t>
      </w:r>
    </w:p>
    <w:p w14:paraId="4EF05F0B" w14:textId="6DF640C5" w:rsidR="004A4358" w:rsidRDefault="00670D76" w:rsidP="004A4358">
      <w:pPr>
        <w:rPr>
          <w:rFonts w:eastAsia="Calibri"/>
        </w:rPr>
      </w:pPr>
      <w:r>
        <w:rPr>
          <w:rFonts w:eastAsia="Calibri"/>
        </w:rPr>
        <w:t xml:space="preserve">The PCV covered by the pilot AMC was a technologically close product, so the “market test” function of country copayments was less important there. Calculations along the lines of Table 3 </w:t>
      </w:r>
      <w:r w:rsidR="00960189">
        <w:rPr>
          <w:rFonts w:eastAsia="Calibri"/>
        </w:rPr>
        <w:t xml:space="preserve">are thus relevant </w:t>
      </w:r>
      <w:r>
        <w:rPr>
          <w:rFonts w:eastAsia="Calibri"/>
        </w:rPr>
        <w:t>for the pilot AMC</w:t>
      </w:r>
      <w:r w:rsidR="008D4A35">
        <w:rPr>
          <w:rFonts w:eastAsia="Calibri"/>
        </w:rPr>
        <w:t xml:space="preserve">, implying that lower copayments may have </w:t>
      </w:r>
      <w:r w:rsidR="0087563F">
        <w:rPr>
          <w:rFonts w:eastAsia="Calibri"/>
        </w:rPr>
        <w:t>improved the efficiency of the program.</w:t>
      </w:r>
      <w:r w:rsidR="008D4A35">
        <w:rPr>
          <w:rFonts w:eastAsia="Calibri"/>
        </w:rPr>
        <w:t xml:space="preserve"> </w:t>
      </w:r>
    </w:p>
    <w:sectPr w:rsidR="004A4358" w:rsidSect="00002AEF">
      <w:pgSz w:w="12240" w:h="15840"/>
      <w:pgMar w:top="1440" w:right="1440" w:bottom="1440" w:left="1440" w:header="720" w:footer="720" w:gutter="0"/>
      <w:cols w:space="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F4F44" w14:textId="77777777" w:rsidR="00055C94" w:rsidRDefault="00055C94">
      <w:r>
        <w:separator/>
      </w:r>
    </w:p>
    <w:p w14:paraId="02E0C753" w14:textId="77777777" w:rsidR="00055C94" w:rsidRDefault="00055C94"/>
  </w:endnote>
  <w:endnote w:type="continuationSeparator" w:id="0">
    <w:p w14:paraId="5CD188CF" w14:textId="77777777" w:rsidR="00055C94" w:rsidRDefault="00055C94">
      <w:r>
        <w:continuationSeparator/>
      </w:r>
    </w:p>
    <w:p w14:paraId="6D7A4BD2" w14:textId="77777777" w:rsidR="00055C94" w:rsidRDefault="00055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TStd-Italic">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1916598"/>
      <w:docPartObj>
        <w:docPartGallery w:val="Page Numbers (Bottom of Page)"/>
        <w:docPartUnique/>
      </w:docPartObj>
    </w:sdtPr>
    <w:sdtEndPr>
      <w:rPr>
        <w:noProof/>
      </w:rPr>
    </w:sdtEndPr>
    <w:sdtContent>
      <w:p w14:paraId="45B09769" w14:textId="73ABDB84" w:rsidR="00151BC7" w:rsidRDefault="00151B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809BC3" w14:textId="77777777" w:rsidR="00151BC7" w:rsidRDefault="0015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654D" w14:textId="77777777" w:rsidR="00055C94" w:rsidRDefault="00055C94" w:rsidP="00002AEF"/>
    <w:p w14:paraId="6742364D" w14:textId="77777777" w:rsidR="00055C94" w:rsidRDefault="00055C94"/>
  </w:footnote>
  <w:footnote w:type="continuationSeparator" w:id="0">
    <w:p w14:paraId="563D190E" w14:textId="77777777" w:rsidR="00055C94" w:rsidRDefault="00055C94">
      <w:r>
        <w:continuationSeparator/>
      </w:r>
    </w:p>
    <w:p w14:paraId="00F7023C" w14:textId="77777777" w:rsidR="00055C94" w:rsidRDefault="00055C9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700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B1CA3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EE08D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1E8F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88E858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980848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C9CC2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79860C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8EEA45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9"/>
    <w:multiLevelType w:val="singleLevel"/>
    <w:tmpl w:val="760AF7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3526F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98360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9F78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6D7F6C"/>
    <w:multiLevelType w:val="hybridMultilevel"/>
    <w:tmpl w:val="42704DBE"/>
    <w:lvl w:ilvl="0" w:tplc="F5D20E9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12F2D"/>
    <w:multiLevelType w:val="hybridMultilevel"/>
    <w:tmpl w:val="D02A5906"/>
    <w:lvl w:ilvl="0" w:tplc="E29E46F6">
      <w:start w:val="1"/>
      <w:numFmt w:val="lowerLetter"/>
      <w:lvlText w:val="%1)"/>
      <w:lvlJc w:val="left"/>
      <w:pPr>
        <w:ind w:left="610" w:hanging="360"/>
      </w:pPr>
      <w:rPr>
        <w:rFonts w:hint="default"/>
      </w:rPr>
    </w:lvl>
    <w:lvl w:ilvl="1" w:tplc="08090019" w:tentative="1">
      <w:start w:val="1"/>
      <w:numFmt w:val="lowerLetter"/>
      <w:lvlText w:val="%2."/>
      <w:lvlJc w:val="left"/>
      <w:pPr>
        <w:ind w:left="1330" w:hanging="360"/>
      </w:pPr>
    </w:lvl>
    <w:lvl w:ilvl="2" w:tplc="0809001B" w:tentative="1">
      <w:start w:val="1"/>
      <w:numFmt w:val="lowerRoman"/>
      <w:lvlText w:val="%3."/>
      <w:lvlJc w:val="right"/>
      <w:pPr>
        <w:ind w:left="2050" w:hanging="180"/>
      </w:pPr>
    </w:lvl>
    <w:lvl w:ilvl="3" w:tplc="0809000F" w:tentative="1">
      <w:start w:val="1"/>
      <w:numFmt w:val="decimal"/>
      <w:lvlText w:val="%4."/>
      <w:lvlJc w:val="left"/>
      <w:pPr>
        <w:ind w:left="2770" w:hanging="360"/>
      </w:pPr>
    </w:lvl>
    <w:lvl w:ilvl="4" w:tplc="08090019" w:tentative="1">
      <w:start w:val="1"/>
      <w:numFmt w:val="lowerLetter"/>
      <w:lvlText w:val="%5."/>
      <w:lvlJc w:val="left"/>
      <w:pPr>
        <w:ind w:left="3490" w:hanging="360"/>
      </w:pPr>
    </w:lvl>
    <w:lvl w:ilvl="5" w:tplc="0809001B" w:tentative="1">
      <w:start w:val="1"/>
      <w:numFmt w:val="lowerRoman"/>
      <w:lvlText w:val="%6."/>
      <w:lvlJc w:val="right"/>
      <w:pPr>
        <w:ind w:left="4210" w:hanging="180"/>
      </w:pPr>
    </w:lvl>
    <w:lvl w:ilvl="6" w:tplc="0809000F" w:tentative="1">
      <w:start w:val="1"/>
      <w:numFmt w:val="decimal"/>
      <w:lvlText w:val="%7."/>
      <w:lvlJc w:val="left"/>
      <w:pPr>
        <w:ind w:left="4930" w:hanging="360"/>
      </w:pPr>
    </w:lvl>
    <w:lvl w:ilvl="7" w:tplc="08090019" w:tentative="1">
      <w:start w:val="1"/>
      <w:numFmt w:val="lowerLetter"/>
      <w:lvlText w:val="%8."/>
      <w:lvlJc w:val="left"/>
      <w:pPr>
        <w:ind w:left="5650" w:hanging="360"/>
      </w:pPr>
    </w:lvl>
    <w:lvl w:ilvl="8" w:tplc="0809001B" w:tentative="1">
      <w:start w:val="1"/>
      <w:numFmt w:val="lowerRoman"/>
      <w:lvlText w:val="%9."/>
      <w:lvlJc w:val="right"/>
      <w:pPr>
        <w:ind w:left="6370" w:hanging="180"/>
      </w:pPr>
    </w:lvl>
  </w:abstractNum>
  <w:abstractNum w:abstractNumId="15" w15:restartNumberingAfterBreak="0">
    <w:nsid w:val="4019337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2D703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861C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3EA189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67049"/>
    <w:multiLevelType w:val="hybridMultilevel"/>
    <w:tmpl w:val="013EF3AA"/>
    <w:lvl w:ilvl="0" w:tplc="4A667A26">
      <w:start w:val="1"/>
      <w:numFmt w:val="lowerRoman"/>
      <w:pStyle w:val="ListNumber"/>
      <w:lvlText w:val="(%1)"/>
      <w:lvlJc w:val="left"/>
      <w:pPr>
        <w:tabs>
          <w:tab w:val="num" w:pos="1195"/>
        </w:tabs>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0" w15:restartNumberingAfterBreak="0">
    <w:nsid w:val="5CD3427D"/>
    <w:multiLevelType w:val="hybridMultilevel"/>
    <w:tmpl w:val="024E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F18FD"/>
    <w:multiLevelType w:val="hybridMultilevel"/>
    <w:tmpl w:val="CBDE9A02"/>
    <w:lvl w:ilvl="0" w:tplc="D7649CC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54DAC"/>
    <w:multiLevelType w:val="hybridMultilevel"/>
    <w:tmpl w:val="00CA8A7A"/>
    <w:lvl w:ilvl="0" w:tplc="C8D4E1E6">
      <w:start w:val="1"/>
      <w:numFmt w:val="bullet"/>
      <w:lvlText w:val=""/>
      <w:lvlJc w:val="left"/>
      <w:pPr>
        <w:tabs>
          <w:tab w:val="num" w:pos="202"/>
        </w:tabs>
        <w:ind w:left="202" w:hanging="20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00D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15:restartNumberingAfterBreak="0">
    <w:nsid w:val="6EEA44E0"/>
    <w:multiLevelType w:val="hybridMultilevel"/>
    <w:tmpl w:val="8ADA513A"/>
    <w:lvl w:ilvl="0" w:tplc="28ACA47A">
      <w:start w:val="1"/>
      <w:numFmt w:val="lowerLetter"/>
      <w:lvlText w:val="%1)"/>
      <w:lvlJc w:val="left"/>
      <w:pPr>
        <w:ind w:left="900" w:hanging="360"/>
      </w:pPr>
      <w:rPr>
        <w:rFonts w:ascii="Times New Roman" w:hAnsi="Times New Roman" w:cs="Times New Roman"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6F241468"/>
    <w:multiLevelType w:val="multilevel"/>
    <w:tmpl w:val="FC8C1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003031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2FB66D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F6B7DFF"/>
    <w:multiLevelType w:val="multilevel"/>
    <w:tmpl w:val="FD2630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9"/>
  </w:num>
  <w:num w:numId="3">
    <w:abstractNumId w:val="13"/>
  </w:num>
  <w:num w:numId="4">
    <w:abstractNumId w:val="0"/>
  </w:num>
  <w:num w:numId="5">
    <w:abstractNumId w:val="4"/>
  </w:num>
  <w:num w:numId="6">
    <w:abstractNumId w:val="3"/>
  </w:num>
  <w:num w:numId="7">
    <w:abstractNumId w:val="2"/>
  </w:num>
  <w:num w:numId="8">
    <w:abstractNumId w:val="1"/>
  </w:num>
  <w:num w:numId="9">
    <w:abstractNumId w:val="9"/>
  </w:num>
  <w:num w:numId="10">
    <w:abstractNumId w:val="8"/>
  </w:num>
  <w:num w:numId="11">
    <w:abstractNumId w:val="7"/>
  </w:num>
  <w:num w:numId="12">
    <w:abstractNumId w:val="6"/>
  </w:num>
  <w:num w:numId="13">
    <w:abstractNumId w:val="5"/>
  </w:num>
  <w:num w:numId="14">
    <w:abstractNumId w:val="12"/>
  </w:num>
  <w:num w:numId="15">
    <w:abstractNumId w:val="16"/>
  </w:num>
  <w:num w:numId="16">
    <w:abstractNumId w:val="27"/>
  </w:num>
  <w:num w:numId="17">
    <w:abstractNumId w:val="21"/>
  </w:num>
  <w:num w:numId="18">
    <w:abstractNumId w:val="11"/>
  </w:num>
  <w:num w:numId="19">
    <w:abstractNumId w:val="17"/>
  </w:num>
  <w:num w:numId="20">
    <w:abstractNumId w:val="23"/>
  </w:num>
  <w:num w:numId="21">
    <w:abstractNumId w:val="26"/>
  </w:num>
  <w:num w:numId="22">
    <w:abstractNumId w:val="18"/>
  </w:num>
  <w:num w:numId="23">
    <w:abstractNumId w:val="15"/>
  </w:num>
  <w:num w:numId="24">
    <w:abstractNumId w:val="10"/>
  </w:num>
  <w:num w:numId="25">
    <w:abstractNumId w:val="28"/>
  </w:num>
  <w:num w:numId="26">
    <w:abstractNumId w:val="25"/>
  </w:num>
  <w:num w:numId="27">
    <w:abstractNumId w:val="20"/>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A0"/>
    <w:rsid w:val="00002AEF"/>
    <w:rsid w:val="000072FA"/>
    <w:rsid w:val="00013077"/>
    <w:rsid w:val="00023B07"/>
    <w:rsid w:val="00024024"/>
    <w:rsid w:val="00027F2E"/>
    <w:rsid w:val="00030C69"/>
    <w:rsid w:val="00031573"/>
    <w:rsid w:val="00035007"/>
    <w:rsid w:val="00044E56"/>
    <w:rsid w:val="00055C94"/>
    <w:rsid w:val="000811CF"/>
    <w:rsid w:val="000862E0"/>
    <w:rsid w:val="000931F2"/>
    <w:rsid w:val="0009351F"/>
    <w:rsid w:val="000A2E1D"/>
    <w:rsid w:val="000D776C"/>
    <w:rsid w:val="000E18EA"/>
    <w:rsid w:val="000F697A"/>
    <w:rsid w:val="000F69DA"/>
    <w:rsid w:val="000F7305"/>
    <w:rsid w:val="00101C7D"/>
    <w:rsid w:val="00101F78"/>
    <w:rsid w:val="00106538"/>
    <w:rsid w:val="00107FA7"/>
    <w:rsid w:val="00130778"/>
    <w:rsid w:val="00133CA8"/>
    <w:rsid w:val="001368FE"/>
    <w:rsid w:val="001414A8"/>
    <w:rsid w:val="00151BC7"/>
    <w:rsid w:val="00152BF2"/>
    <w:rsid w:val="00155608"/>
    <w:rsid w:val="00167753"/>
    <w:rsid w:val="00173035"/>
    <w:rsid w:val="00173765"/>
    <w:rsid w:val="00175527"/>
    <w:rsid w:val="00176E1A"/>
    <w:rsid w:val="0019258E"/>
    <w:rsid w:val="001958BB"/>
    <w:rsid w:val="001A53EF"/>
    <w:rsid w:val="001C50E8"/>
    <w:rsid w:val="001D561A"/>
    <w:rsid w:val="001D656A"/>
    <w:rsid w:val="001E5DBA"/>
    <w:rsid w:val="00207AB8"/>
    <w:rsid w:val="00222AF1"/>
    <w:rsid w:val="00225C5F"/>
    <w:rsid w:val="002275D6"/>
    <w:rsid w:val="002422FF"/>
    <w:rsid w:val="00253735"/>
    <w:rsid w:val="00253D8F"/>
    <w:rsid w:val="002554FB"/>
    <w:rsid w:val="002648DF"/>
    <w:rsid w:val="0027286E"/>
    <w:rsid w:val="002774E6"/>
    <w:rsid w:val="00287600"/>
    <w:rsid w:val="0029543E"/>
    <w:rsid w:val="002A12A0"/>
    <w:rsid w:val="002B205C"/>
    <w:rsid w:val="002B4A2D"/>
    <w:rsid w:val="002C5610"/>
    <w:rsid w:val="002C5C41"/>
    <w:rsid w:val="002D550C"/>
    <w:rsid w:val="002E4297"/>
    <w:rsid w:val="002E61E2"/>
    <w:rsid w:val="002F44ED"/>
    <w:rsid w:val="002F5A5D"/>
    <w:rsid w:val="002F7C31"/>
    <w:rsid w:val="00303B67"/>
    <w:rsid w:val="0030719C"/>
    <w:rsid w:val="0030723A"/>
    <w:rsid w:val="00316384"/>
    <w:rsid w:val="0032202E"/>
    <w:rsid w:val="00335F4E"/>
    <w:rsid w:val="00347CD3"/>
    <w:rsid w:val="003539A6"/>
    <w:rsid w:val="0036162C"/>
    <w:rsid w:val="003648E9"/>
    <w:rsid w:val="003835DF"/>
    <w:rsid w:val="00384B99"/>
    <w:rsid w:val="00390813"/>
    <w:rsid w:val="00391E57"/>
    <w:rsid w:val="00392B64"/>
    <w:rsid w:val="00393CC0"/>
    <w:rsid w:val="0039489F"/>
    <w:rsid w:val="00395DAD"/>
    <w:rsid w:val="003B3B95"/>
    <w:rsid w:val="003B425B"/>
    <w:rsid w:val="003C054D"/>
    <w:rsid w:val="003D17AE"/>
    <w:rsid w:val="003D5DA6"/>
    <w:rsid w:val="003D6EAB"/>
    <w:rsid w:val="0040352E"/>
    <w:rsid w:val="004201B3"/>
    <w:rsid w:val="00435912"/>
    <w:rsid w:val="00444B3E"/>
    <w:rsid w:val="004459F6"/>
    <w:rsid w:val="00450F6E"/>
    <w:rsid w:val="0045205D"/>
    <w:rsid w:val="00452443"/>
    <w:rsid w:val="004524CF"/>
    <w:rsid w:val="00460501"/>
    <w:rsid w:val="0046449D"/>
    <w:rsid w:val="004657F5"/>
    <w:rsid w:val="00476FFA"/>
    <w:rsid w:val="00490299"/>
    <w:rsid w:val="0049212C"/>
    <w:rsid w:val="004A06FC"/>
    <w:rsid w:val="004A4358"/>
    <w:rsid w:val="004B7C7F"/>
    <w:rsid w:val="004E722D"/>
    <w:rsid w:val="004F3204"/>
    <w:rsid w:val="0050267F"/>
    <w:rsid w:val="00505800"/>
    <w:rsid w:val="00510109"/>
    <w:rsid w:val="005202CB"/>
    <w:rsid w:val="00524FE6"/>
    <w:rsid w:val="005265E1"/>
    <w:rsid w:val="0053514D"/>
    <w:rsid w:val="005354D8"/>
    <w:rsid w:val="00541744"/>
    <w:rsid w:val="00550B94"/>
    <w:rsid w:val="005521CF"/>
    <w:rsid w:val="00561EAF"/>
    <w:rsid w:val="00567C69"/>
    <w:rsid w:val="005719FB"/>
    <w:rsid w:val="00571A6E"/>
    <w:rsid w:val="0058646A"/>
    <w:rsid w:val="005923C0"/>
    <w:rsid w:val="005A24B4"/>
    <w:rsid w:val="005C0998"/>
    <w:rsid w:val="005D0739"/>
    <w:rsid w:val="005D2CE5"/>
    <w:rsid w:val="005D2E44"/>
    <w:rsid w:val="005D342E"/>
    <w:rsid w:val="005D4B88"/>
    <w:rsid w:val="005E0F5A"/>
    <w:rsid w:val="005E5D86"/>
    <w:rsid w:val="005F3074"/>
    <w:rsid w:val="00600A56"/>
    <w:rsid w:val="00601228"/>
    <w:rsid w:val="00602C4B"/>
    <w:rsid w:val="00603176"/>
    <w:rsid w:val="00611002"/>
    <w:rsid w:val="0061141F"/>
    <w:rsid w:val="00612802"/>
    <w:rsid w:val="006138F1"/>
    <w:rsid w:val="0063583C"/>
    <w:rsid w:val="006613C6"/>
    <w:rsid w:val="006670D8"/>
    <w:rsid w:val="00667803"/>
    <w:rsid w:val="00670D76"/>
    <w:rsid w:val="00674A16"/>
    <w:rsid w:val="00675A2A"/>
    <w:rsid w:val="006937DD"/>
    <w:rsid w:val="006A1144"/>
    <w:rsid w:val="006B514F"/>
    <w:rsid w:val="006B56F4"/>
    <w:rsid w:val="006B71C8"/>
    <w:rsid w:val="006C5BE0"/>
    <w:rsid w:val="006D76B5"/>
    <w:rsid w:val="006E3728"/>
    <w:rsid w:val="006E7237"/>
    <w:rsid w:val="006F282A"/>
    <w:rsid w:val="006F2F0D"/>
    <w:rsid w:val="006F6015"/>
    <w:rsid w:val="00702FF1"/>
    <w:rsid w:val="00711F37"/>
    <w:rsid w:val="00730284"/>
    <w:rsid w:val="007371DE"/>
    <w:rsid w:val="00750D8C"/>
    <w:rsid w:val="0076247B"/>
    <w:rsid w:val="0076723F"/>
    <w:rsid w:val="00773E87"/>
    <w:rsid w:val="00777837"/>
    <w:rsid w:val="00777AC6"/>
    <w:rsid w:val="00791FCD"/>
    <w:rsid w:val="007948C9"/>
    <w:rsid w:val="00796049"/>
    <w:rsid w:val="00797B0F"/>
    <w:rsid w:val="00797F7F"/>
    <w:rsid w:val="007B33B1"/>
    <w:rsid w:val="007C288F"/>
    <w:rsid w:val="007D27B8"/>
    <w:rsid w:val="007D5CDC"/>
    <w:rsid w:val="007E0192"/>
    <w:rsid w:val="007F172D"/>
    <w:rsid w:val="007F53FA"/>
    <w:rsid w:val="00803E97"/>
    <w:rsid w:val="00804EBA"/>
    <w:rsid w:val="00805087"/>
    <w:rsid w:val="00810C90"/>
    <w:rsid w:val="008172EE"/>
    <w:rsid w:val="0082268A"/>
    <w:rsid w:val="00823590"/>
    <w:rsid w:val="00842C29"/>
    <w:rsid w:val="00842DF2"/>
    <w:rsid w:val="008447B2"/>
    <w:rsid w:val="00845633"/>
    <w:rsid w:val="00856F46"/>
    <w:rsid w:val="00860D86"/>
    <w:rsid w:val="00865046"/>
    <w:rsid w:val="00865E4A"/>
    <w:rsid w:val="0086723E"/>
    <w:rsid w:val="00870C03"/>
    <w:rsid w:val="0087563F"/>
    <w:rsid w:val="00883850"/>
    <w:rsid w:val="008857BC"/>
    <w:rsid w:val="00885854"/>
    <w:rsid w:val="00890085"/>
    <w:rsid w:val="00893BE4"/>
    <w:rsid w:val="00896A64"/>
    <w:rsid w:val="008A10EA"/>
    <w:rsid w:val="008A19E2"/>
    <w:rsid w:val="008A2E40"/>
    <w:rsid w:val="008A2E74"/>
    <w:rsid w:val="008A7E6C"/>
    <w:rsid w:val="008C5208"/>
    <w:rsid w:val="008C6156"/>
    <w:rsid w:val="008D4A35"/>
    <w:rsid w:val="008E1221"/>
    <w:rsid w:val="008E17D3"/>
    <w:rsid w:val="008F586B"/>
    <w:rsid w:val="008F5EC8"/>
    <w:rsid w:val="00905808"/>
    <w:rsid w:val="0091388A"/>
    <w:rsid w:val="0092349D"/>
    <w:rsid w:val="00926D1B"/>
    <w:rsid w:val="00960189"/>
    <w:rsid w:val="00965E86"/>
    <w:rsid w:val="0096784D"/>
    <w:rsid w:val="00974D39"/>
    <w:rsid w:val="009810C6"/>
    <w:rsid w:val="0099628A"/>
    <w:rsid w:val="009966CC"/>
    <w:rsid w:val="009B3F32"/>
    <w:rsid w:val="009D4626"/>
    <w:rsid w:val="009E5802"/>
    <w:rsid w:val="009F4DBE"/>
    <w:rsid w:val="009F5813"/>
    <w:rsid w:val="00A007ED"/>
    <w:rsid w:val="00A0086D"/>
    <w:rsid w:val="00A00CE9"/>
    <w:rsid w:val="00A035BB"/>
    <w:rsid w:val="00A0396D"/>
    <w:rsid w:val="00A0575A"/>
    <w:rsid w:val="00A067F1"/>
    <w:rsid w:val="00A140FF"/>
    <w:rsid w:val="00A1690F"/>
    <w:rsid w:val="00A20CB6"/>
    <w:rsid w:val="00A2372C"/>
    <w:rsid w:val="00A33F13"/>
    <w:rsid w:val="00A35078"/>
    <w:rsid w:val="00A5738F"/>
    <w:rsid w:val="00A57CCA"/>
    <w:rsid w:val="00A61FC6"/>
    <w:rsid w:val="00A643F3"/>
    <w:rsid w:val="00A67C79"/>
    <w:rsid w:val="00A83C13"/>
    <w:rsid w:val="00A95C83"/>
    <w:rsid w:val="00AA2ABB"/>
    <w:rsid w:val="00AA69E1"/>
    <w:rsid w:val="00AB1BE7"/>
    <w:rsid w:val="00AB277C"/>
    <w:rsid w:val="00AB4516"/>
    <w:rsid w:val="00AB57E9"/>
    <w:rsid w:val="00AB72AA"/>
    <w:rsid w:val="00AB782A"/>
    <w:rsid w:val="00AC5220"/>
    <w:rsid w:val="00AC5414"/>
    <w:rsid w:val="00AC6417"/>
    <w:rsid w:val="00AD1E05"/>
    <w:rsid w:val="00AD43AC"/>
    <w:rsid w:val="00AE1AFF"/>
    <w:rsid w:val="00AE48C2"/>
    <w:rsid w:val="00B02DCE"/>
    <w:rsid w:val="00B13128"/>
    <w:rsid w:val="00B150E7"/>
    <w:rsid w:val="00B17DE2"/>
    <w:rsid w:val="00B42CEF"/>
    <w:rsid w:val="00B45B31"/>
    <w:rsid w:val="00B549F0"/>
    <w:rsid w:val="00B57A55"/>
    <w:rsid w:val="00B6490A"/>
    <w:rsid w:val="00B6598F"/>
    <w:rsid w:val="00B845CD"/>
    <w:rsid w:val="00B906CC"/>
    <w:rsid w:val="00B90E72"/>
    <w:rsid w:val="00B942F4"/>
    <w:rsid w:val="00BA5D00"/>
    <w:rsid w:val="00BA7D7C"/>
    <w:rsid w:val="00BB1A76"/>
    <w:rsid w:val="00BC161A"/>
    <w:rsid w:val="00BD0DCC"/>
    <w:rsid w:val="00BD55A3"/>
    <w:rsid w:val="00BE4B6A"/>
    <w:rsid w:val="00BF29A6"/>
    <w:rsid w:val="00C12465"/>
    <w:rsid w:val="00C17665"/>
    <w:rsid w:val="00C31CA7"/>
    <w:rsid w:val="00C320BE"/>
    <w:rsid w:val="00C323F7"/>
    <w:rsid w:val="00C4637B"/>
    <w:rsid w:val="00C50993"/>
    <w:rsid w:val="00C55936"/>
    <w:rsid w:val="00C6474D"/>
    <w:rsid w:val="00C70E70"/>
    <w:rsid w:val="00C73A71"/>
    <w:rsid w:val="00C8093D"/>
    <w:rsid w:val="00C85372"/>
    <w:rsid w:val="00C86E4A"/>
    <w:rsid w:val="00C9577B"/>
    <w:rsid w:val="00CA3EF9"/>
    <w:rsid w:val="00CB71D2"/>
    <w:rsid w:val="00CC0110"/>
    <w:rsid w:val="00CC4344"/>
    <w:rsid w:val="00CE0184"/>
    <w:rsid w:val="00CE33D5"/>
    <w:rsid w:val="00D021BB"/>
    <w:rsid w:val="00D03560"/>
    <w:rsid w:val="00D21F51"/>
    <w:rsid w:val="00D22EDA"/>
    <w:rsid w:val="00D3595D"/>
    <w:rsid w:val="00D369C3"/>
    <w:rsid w:val="00D3733D"/>
    <w:rsid w:val="00D6192A"/>
    <w:rsid w:val="00D63B2D"/>
    <w:rsid w:val="00D66B76"/>
    <w:rsid w:val="00D7199C"/>
    <w:rsid w:val="00D726FF"/>
    <w:rsid w:val="00D72ABF"/>
    <w:rsid w:val="00D76C86"/>
    <w:rsid w:val="00D914C0"/>
    <w:rsid w:val="00D944CE"/>
    <w:rsid w:val="00D9652B"/>
    <w:rsid w:val="00D976AC"/>
    <w:rsid w:val="00DB3178"/>
    <w:rsid w:val="00DC24A8"/>
    <w:rsid w:val="00DC699B"/>
    <w:rsid w:val="00DC6A07"/>
    <w:rsid w:val="00DD3ADC"/>
    <w:rsid w:val="00DD6AEA"/>
    <w:rsid w:val="00DD7A7E"/>
    <w:rsid w:val="00DF0CBF"/>
    <w:rsid w:val="00DF5131"/>
    <w:rsid w:val="00DF60EF"/>
    <w:rsid w:val="00DF732F"/>
    <w:rsid w:val="00E05DE6"/>
    <w:rsid w:val="00E06AA4"/>
    <w:rsid w:val="00E16326"/>
    <w:rsid w:val="00E3247D"/>
    <w:rsid w:val="00E32FCF"/>
    <w:rsid w:val="00E3366A"/>
    <w:rsid w:val="00E367E7"/>
    <w:rsid w:val="00E46524"/>
    <w:rsid w:val="00E53936"/>
    <w:rsid w:val="00E74CB7"/>
    <w:rsid w:val="00E74EF8"/>
    <w:rsid w:val="00E766C3"/>
    <w:rsid w:val="00E820CC"/>
    <w:rsid w:val="00E86479"/>
    <w:rsid w:val="00E867DD"/>
    <w:rsid w:val="00E91BD9"/>
    <w:rsid w:val="00E93B1C"/>
    <w:rsid w:val="00E93F8C"/>
    <w:rsid w:val="00EA0B6B"/>
    <w:rsid w:val="00EA4852"/>
    <w:rsid w:val="00EB0A9C"/>
    <w:rsid w:val="00EB27E7"/>
    <w:rsid w:val="00EB4C48"/>
    <w:rsid w:val="00EB782F"/>
    <w:rsid w:val="00EC6424"/>
    <w:rsid w:val="00EE69F8"/>
    <w:rsid w:val="00EF1E8E"/>
    <w:rsid w:val="00EF58D1"/>
    <w:rsid w:val="00F039EE"/>
    <w:rsid w:val="00F12D09"/>
    <w:rsid w:val="00F211E1"/>
    <w:rsid w:val="00F24605"/>
    <w:rsid w:val="00F32752"/>
    <w:rsid w:val="00F47D5E"/>
    <w:rsid w:val="00F60DDB"/>
    <w:rsid w:val="00F734FF"/>
    <w:rsid w:val="00F76D8C"/>
    <w:rsid w:val="00F844D5"/>
    <w:rsid w:val="00FA1539"/>
    <w:rsid w:val="00FB72A9"/>
    <w:rsid w:val="00FC7C8D"/>
    <w:rsid w:val="00FD45D0"/>
    <w:rsid w:val="00FE6CB8"/>
    <w:rsid w:val="00FF40C8"/>
    <w:rsid w:val="00FF50B8"/>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8BB0AB"/>
  <w15:chartTrackingRefBased/>
  <w15:docId w15:val="{1557A2AC-5FBF-4BAC-953C-4A1640BE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1" w:semiHidden="1" w:uiPriority="99"/>
    <w:lsdException w:name="index 2" w:semiHidden="1" w:uiPriority="99"/>
    <w:lsdException w:name="index 3" w:semiHidden="1" w:uiPriority="99"/>
    <w:lsdException w:name="index 4" w:semiHidden="1" w:uiPriority="99"/>
    <w:lsdException w:name="index 5" w:semiHidden="1" w:uiPriority="99"/>
    <w:lsdException w:name="index 6" w:semiHidden="1" w:uiPriority="99"/>
    <w:lsdException w:name="index 7" w:semiHidden="1" w:uiPriority="99"/>
    <w:lsdException w:name="index 8" w:semiHidden="1" w:uiPriority="99"/>
    <w:lsdException w:name="index 9" w:semiHidden="1" w:uiPriority="99"/>
    <w:lsdException w:name="toc 1" w:semiHidden="1" w:uiPriority="99"/>
    <w:lsdException w:name="toc 2" w:semiHidden="1" w:uiPriority="99"/>
    <w:lsdException w:name="toc 3" w:semiHidden="1" w:uiPriority="99"/>
    <w:lsdException w:name="toc 4" w:semiHidden="1" w:uiPriority="99"/>
    <w:lsdException w:name="toc 5" w:semiHidden="1" w:uiPriority="99"/>
    <w:lsdException w:name="toc 6" w:semiHidden="1" w:uiPriority="99"/>
    <w:lsdException w:name="toc 7" w:semiHidden="1" w:uiPriority="99"/>
    <w:lsdException w:name="toc 8" w:semiHidden="1" w:uiPriority="99"/>
    <w:lsdException w:name="toc 9" w:semiHidden="1" w:uiPriority="99"/>
    <w:lsdException w:name="Normal Indent" w:semiHidden="1" w:uiPriority="99"/>
    <w:lsdException w:name="footnote text" w:uiPriority="99"/>
    <w:lsdException w:name="annotation text" w:semiHidden="1" w:uiPriority="99"/>
    <w:lsdException w:name="footer" w:semiHidden="1" w:uiPriority="99"/>
    <w:lsdException w:name="index heading" w:semiHidden="1" w:uiPriority="99"/>
    <w:lsdException w:name="caption" w:semiHidden="1" w:uiPriority="99" w:unhideWhenUsed="1" w:qFormat="1"/>
    <w:lsdException w:name="table of figures" w:semiHidden="1" w:uiPriority="99"/>
    <w:lsdException w:name="envelope address" w:semiHidden="1" w:uiPriority="99"/>
    <w:lsdException w:name="envelope return" w:semiHidden="1" w:uiPriority="99"/>
    <w:lsdException w:name="footnote reference" w:uiPriority="99"/>
    <w:lsdException w:name="annotation reference" w:semiHidden="1" w:uiPriority="99"/>
    <w:lsdException w:name="line number" w:semiHidden="1" w:uiPriority="99"/>
    <w:lsdException w:name="page number" w:semiHidden="1" w:uiPriority="99"/>
    <w:lsdException w:name="endnote reference" w:semiHidden="1" w:uiPriority="99"/>
    <w:lsdException w:name="endnote text" w:semiHidden="1" w:uiPriority="99"/>
    <w:lsdException w:name="table of authorities" w:semiHidden="1" w:uiPriority="99"/>
    <w:lsdException w:name="macro" w:semiHidden="1" w:uiPriority="99"/>
    <w:lsdException w:name="toa heading" w:semiHidden="1" w:uiPriority="99"/>
    <w:lsdException w:name="List" w:semiHidden="1" w:uiPriority="99"/>
    <w:lsdException w:name="List 2" w:semiHidden="1" w:uiPriority="99"/>
    <w:lsdException w:name="List 3" w:semiHidden="1" w:uiPriority="99"/>
    <w:lsdException w:name="List 4" w:semiHidden="1" w:uiPriority="99"/>
    <w:lsdException w:name="List 5" w:semiHidden="1" w:uiPriority="99"/>
    <w:lsdException w:name="List Bullet 2" w:semiHidden="1" w:uiPriority="99"/>
    <w:lsdException w:name="List Bullet 3" w:semiHidden="1" w:uiPriority="99"/>
    <w:lsdException w:name="List Bullet 4" w:semiHidden="1" w:uiPriority="99"/>
    <w:lsdException w:name="List Bullet 5" w:semiHidden="1" w:uiPriority="99"/>
    <w:lsdException w:name="List Number 2" w:semiHidden="1" w:uiPriority="99"/>
    <w:lsdException w:name="List Number 3" w:semiHidden="1" w:uiPriority="99"/>
    <w:lsdException w:name="List Number 4" w:semiHidden="1" w:uiPriority="99"/>
    <w:lsdException w:name="List Number 5" w:semiHidden="1" w:uiPriority="99"/>
    <w:lsdException w:name="Title" w:qFormat="1"/>
    <w:lsdException w:name="Closing" w:semiHidden="1" w:uiPriority="99"/>
    <w:lsdException w:name="Signature" w:semiHidden="1" w:uiPriority="99"/>
    <w:lsdException w:name="Body Text" w:semiHidden="1" w:uiPriority="99"/>
    <w:lsdException w:name="Body Text Indent" w:semiHidden="1" w:uiPriority="99"/>
    <w:lsdException w:name="List Continue" w:semiHidden="1" w:uiPriority="99"/>
    <w:lsdException w:name="List Continue 2" w:semiHidden="1" w:uiPriority="99"/>
    <w:lsdException w:name="List Continue 3" w:semiHidden="1" w:uiPriority="99"/>
    <w:lsdException w:name="List Continue 4" w:semiHidden="1" w:uiPriority="99"/>
    <w:lsdException w:name="List Continue 5" w:semiHidden="1" w:uiPriority="99"/>
    <w:lsdException w:name="Message Header" w:semiHidden="1" w:uiPriority="99"/>
    <w:lsdException w:name="Subtitle" w:uiPriority="99" w:qFormat="1"/>
    <w:lsdException w:name="Salutation" w:semiHidden="1" w:uiPriority="99"/>
    <w:lsdException w:name="Date" w:semiHidden="1" w:uiPriority="99"/>
    <w:lsdException w:name="Body Text First Indent" w:semiHidden="1" w:uiPriority="99"/>
    <w:lsdException w:name="Body Text First Indent 2" w:semiHidden="1" w:uiPriority="99"/>
    <w:lsdException w:name="Note Heading" w:semiHidden="1" w:uiPriority="99"/>
    <w:lsdException w:name="Body Text 2" w:semiHidden="1" w:uiPriority="99"/>
    <w:lsdException w:name="Body Text 3" w:semiHidden="1" w:uiPriority="99"/>
    <w:lsdException w:name="Body Text Indent 2" w:semiHidden="1" w:uiPriority="99"/>
    <w:lsdException w:name="Body Text Indent 3" w:semiHidden="1" w:uiPriority="99"/>
    <w:lsdException w:name="Block Text" w:semiHidden="1" w:uiPriority="99"/>
    <w:lsdException w:name="Hyperlink" w:semiHidden="1" w:uiPriority="99"/>
    <w:lsdException w:name="FollowedHyperlink" w:semiHidden="1" w:uiPriority="99"/>
    <w:lsdException w:name="Strong" w:uiPriority="99" w:qFormat="1"/>
    <w:lsdException w:name="Emphasis" w:uiPriority="99" w:qFormat="1"/>
    <w:lsdException w:name="Document Map" w:semiHidden="1" w:uiPriority="99"/>
    <w:lsdException w:name="Plain Text" w:semiHidden="1" w:uiPriority="99"/>
    <w:lsdException w:name="E-mail Signature" w:semiHidden="1" w:uiPriority="99"/>
    <w:lsdException w:name="Normal (Web)" w:semiHidden="1" w:uiPriority="99"/>
    <w:lsdException w:name="HTML Acronym" w:semiHidden="1" w:uiPriority="99"/>
    <w:lsdException w:name="HTML Address" w:semiHidden="1" w:uiPriority="99"/>
    <w:lsdException w:name="HTML Cite" w:semiHidden="1" w:uiPriority="99"/>
    <w:lsdException w:name="HTML Code" w:semiHidden="1" w:uiPriority="99"/>
    <w:lsdException w:name="HTML Definition" w:semiHidden="1" w:uiPriority="99"/>
    <w:lsdException w:name="HTML Keyboard" w:semiHidden="1" w:uiPriority="99"/>
    <w:lsdException w:name="HTML Preformatted" w:semiHidden="1" w:uiPriority="99"/>
    <w:lsdException w:name="HTML Sample" w:semiHidden="1" w:uiPriority="99"/>
    <w:lsdException w:name="HTML Typewriter" w:semiHidden="1" w:uiPriority="99"/>
    <w:lsdException w:name="HTML Variable" w:semiHidden="1" w:uiPriority="99" w:unhideWhenUsed="1"/>
    <w:lsdException w:name="annotation subject" w:semiHidden="1"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lsdException w:name="TOC Heading" w:semiHidden="1" w:uiPriority="9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Normal appendix"/>
    <w:qFormat/>
    <w:rsid w:val="00B150E7"/>
    <w:pPr>
      <w:ind w:firstLine="202"/>
      <w:jc w:val="both"/>
    </w:pPr>
    <w:rPr>
      <w:rFonts w:ascii="Times New Roman" w:hAnsi="Times New Roman"/>
      <w:sz w:val="24"/>
      <w:szCs w:val="24"/>
    </w:rPr>
  </w:style>
  <w:style w:type="paragraph" w:styleId="Heading1">
    <w:name w:val="heading 1"/>
    <w:next w:val="Normal"/>
    <w:link w:val="Heading1Char"/>
    <w:qFormat/>
    <w:rsid w:val="0052428D"/>
    <w:pPr>
      <w:keepNext/>
      <w:keepLines/>
      <w:spacing w:before="260" w:after="260" w:line="360" w:lineRule="auto"/>
      <w:contextualSpacing/>
      <w:jc w:val="center"/>
      <w:outlineLvl w:val="0"/>
    </w:pPr>
    <w:rPr>
      <w:rFonts w:ascii="Times New Roman" w:eastAsia="Times New Roman" w:hAnsi="Times New Roman"/>
      <w:b/>
      <w:bCs/>
      <w:color w:val="000000"/>
      <w:kern w:val="32"/>
      <w:sz w:val="24"/>
      <w:szCs w:val="32"/>
    </w:rPr>
  </w:style>
  <w:style w:type="paragraph" w:styleId="Heading2">
    <w:name w:val="heading 2"/>
    <w:next w:val="Normal"/>
    <w:link w:val="Heading2Char"/>
    <w:qFormat/>
    <w:rsid w:val="0052428D"/>
    <w:pPr>
      <w:keepNext/>
      <w:keepLines/>
      <w:spacing w:before="260" w:after="260" w:line="360" w:lineRule="auto"/>
      <w:contextualSpacing/>
      <w:jc w:val="center"/>
      <w:outlineLvl w:val="1"/>
    </w:pPr>
    <w:rPr>
      <w:rFonts w:ascii="Times New Roman" w:hAnsi="Times New Roman" w:cs="TimesLTStd-Italic"/>
      <w:i/>
      <w:iCs/>
      <w:color w:val="000000"/>
      <w:sz w:val="24"/>
    </w:rPr>
  </w:style>
  <w:style w:type="paragraph" w:styleId="Heading3">
    <w:name w:val="heading 3"/>
    <w:basedOn w:val="Normal"/>
    <w:next w:val="Normal"/>
    <w:link w:val="Heading3Char"/>
    <w:qFormat/>
    <w:rsid w:val="0052428D"/>
    <w:pPr>
      <w:spacing w:before="260"/>
      <w:ind w:firstLine="0"/>
      <w:outlineLvl w:val="2"/>
    </w:pPr>
  </w:style>
  <w:style w:type="paragraph" w:styleId="Heading4">
    <w:name w:val="heading 4"/>
    <w:basedOn w:val="Normal"/>
    <w:next w:val="Normal"/>
    <w:link w:val="Heading4Char"/>
    <w:qFormat/>
    <w:rsid w:val="0052428D"/>
    <w:pPr>
      <w:spacing w:before="260"/>
      <w:ind w:firstLine="0"/>
      <w:outlineLvl w:val="3"/>
    </w:pPr>
    <w:rPr>
      <w:rFonts w:eastAsia="Times New Roman"/>
      <w:bCs/>
      <w:szCs w:val="28"/>
    </w:rPr>
  </w:style>
  <w:style w:type="paragraph" w:styleId="Heading5">
    <w:name w:val="heading 5"/>
    <w:basedOn w:val="Normal"/>
    <w:next w:val="Normal"/>
    <w:link w:val="Heading5Char"/>
    <w:uiPriority w:val="99"/>
    <w:qFormat/>
    <w:rsid w:val="00EE40C8"/>
    <w:pPr>
      <w:numPr>
        <w:ilvl w:val="4"/>
        <w:numId w:val="2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9"/>
    <w:qFormat/>
    <w:rsid w:val="00EE40C8"/>
    <w:pPr>
      <w:numPr>
        <w:ilvl w:val="5"/>
        <w:numId w:val="2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9"/>
    <w:qFormat/>
    <w:rsid w:val="00EE40C8"/>
    <w:pPr>
      <w:numPr>
        <w:ilvl w:val="6"/>
        <w:numId w:val="20"/>
      </w:numPr>
      <w:spacing w:before="240" w:after="60"/>
      <w:outlineLvl w:val="6"/>
    </w:pPr>
    <w:rPr>
      <w:rFonts w:ascii="Calibri" w:eastAsia="Times New Roman" w:hAnsi="Calibri"/>
    </w:rPr>
  </w:style>
  <w:style w:type="paragraph" w:styleId="Heading8">
    <w:name w:val="heading 8"/>
    <w:basedOn w:val="Normal"/>
    <w:next w:val="Normal"/>
    <w:link w:val="Heading8Char"/>
    <w:uiPriority w:val="99"/>
    <w:qFormat/>
    <w:rsid w:val="00EE40C8"/>
    <w:pPr>
      <w:numPr>
        <w:ilvl w:val="7"/>
        <w:numId w:val="20"/>
      </w:numPr>
      <w:spacing w:before="240" w:after="60"/>
      <w:outlineLvl w:val="7"/>
    </w:pPr>
    <w:rPr>
      <w:rFonts w:ascii="Calibri" w:eastAsia="Times New Roman" w:hAnsi="Calibri"/>
      <w:i/>
      <w:iCs/>
    </w:rPr>
  </w:style>
  <w:style w:type="paragraph" w:styleId="Heading9">
    <w:name w:val="heading 9"/>
    <w:basedOn w:val="Normal"/>
    <w:next w:val="Normal"/>
    <w:link w:val="Heading9Char"/>
    <w:uiPriority w:val="99"/>
    <w:qFormat/>
    <w:rsid w:val="00EE40C8"/>
    <w:pPr>
      <w:numPr>
        <w:ilvl w:val="8"/>
        <w:numId w:val="20"/>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0C8"/>
    <w:rPr>
      <w:rFonts w:ascii="Times New Roman" w:eastAsia="Times New Roman" w:hAnsi="Times New Roman"/>
      <w:b/>
      <w:bCs/>
      <w:color w:val="000000"/>
      <w:kern w:val="32"/>
      <w:sz w:val="24"/>
      <w:szCs w:val="32"/>
      <w:lang w:val="en-US" w:eastAsia="en-US" w:bidi="ar-SA"/>
    </w:rPr>
  </w:style>
  <w:style w:type="character" w:customStyle="1" w:styleId="Heading2Char">
    <w:name w:val="Heading 2 Char"/>
    <w:basedOn w:val="DefaultParagraphFont"/>
    <w:link w:val="Heading2"/>
    <w:rsid w:val="00EE40C8"/>
    <w:rPr>
      <w:rFonts w:ascii="Times New Roman" w:hAnsi="Times New Roman" w:cs="TimesLTStd-Italic"/>
      <w:i/>
      <w:iCs/>
      <w:color w:val="000000"/>
      <w:sz w:val="24"/>
      <w:lang w:val="en-US" w:eastAsia="en-US" w:bidi="ar-SA"/>
    </w:rPr>
  </w:style>
  <w:style w:type="character" w:customStyle="1" w:styleId="Heading3Char">
    <w:name w:val="Heading 3 Char"/>
    <w:basedOn w:val="DefaultParagraphFont"/>
    <w:link w:val="Heading3"/>
    <w:rsid w:val="00EE40C8"/>
    <w:rPr>
      <w:rFonts w:ascii="Times New Roman" w:hAnsi="Times New Roman"/>
      <w:sz w:val="24"/>
      <w:szCs w:val="24"/>
    </w:rPr>
  </w:style>
  <w:style w:type="character" w:customStyle="1" w:styleId="Heading4Char">
    <w:name w:val="Heading 4 Char"/>
    <w:basedOn w:val="DefaultParagraphFont"/>
    <w:link w:val="Heading4"/>
    <w:rsid w:val="00EE40C8"/>
    <w:rPr>
      <w:rFonts w:ascii="Times New Roman" w:eastAsia="Times New Roman" w:hAnsi="Times New Roman"/>
      <w:bCs/>
      <w:sz w:val="24"/>
      <w:szCs w:val="28"/>
    </w:rPr>
  </w:style>
  <w:style w:type="paragraph" w:customStyle="1" w:styleId="Author">
    <w:name w:val="Author"/>
    <w:next w:val="Normal"/>
    <w:rsid w:val="008A4ECD"/>
    <w:pPr>
      <w:suppressAutoHyphens/>
      <w:spacing w:after="280" w:line="360" w:lineRule="auto"/>
      <w:jc w:val="center"/>
    </w:pPr>
    <w:rPr>
      <w:rFonts w:ascii="Times New Roman" w:hAnsi="Times New Roman" w:cs="TimesLTStd-Roman"/>
      <w:smallCaps/>
      <w:color w:val="000000"/>
      <w:sz w:val="24"/>
      <w:szCs w:val="22"/>
    </w:rPr>
  </w:style>
  <w:style w:type="paragraph" w:customStyle="1" w:styleId="Equation">
    <w:name w:val="Equation"/>
    <w:next w:val="Normal"/>
    <w:rsid w:val="00401F27"/>
    <w:pPr>
      <w:tabs>
        <w:tab w:val="center" w:pos="2016"/>
      </w:tabs>
      <w:suppressAutoHyphens/>
      <w:spacing w:before="260" w:line="360" w:lineRule="auto"/>
    </w:pPr>
    <w:rPr>
      <w:rFonts w:ascii="Times New Roman" w:hAnsi="Times New Roman" w:cs="TimesLTStd-Roman"/>
      <w:color w:val="000000"/>
      <w:sz w:val="24"/>
    </w:rPr>
  </w:style>
  <w:style w:type="paragraph" w:customStyle="1" w:styleId="NormalNoIndent">
    <w:name w:val="Normal No Indent"/>
    <w:basedOn w:val="Normal"/>
    <w:next w:val="Normal"/>
    <w:rsid w:val="008F7A00"/>
    <w:pPr>
      <w:ind w:firstLine="0"/>
    </w:pPr>
  </w:style>
  <w:style w:type="paragraph" w:customStyle="1" w:styleId="Contact">
    <w:name w:val="Contact"/>
    <w:next w:val="Normal"/>
    <w:rsid w:val="0076059A"/>
    <w:pPr>
      <w:widowControl w:val="0"/>
      <w:autoSpaceDE w:val="0"/>
      <w:autoSpaceDN w:val="0"/>
      <w:adjustRightInd w:val="0"/>
      <w:spacing w:after="200" w:line="360" w:lineRule="auto"/>
      <w:ind w:firstLine="202"/>
      <w:jc w:val="both"/>
      <w:textAlignment w:val="center"/>
    </w:pPr>
    <w:rPr>
      <w:rFonts w:ascii="Times New Roman" w:hAnsi="Times New Roman" w:cs="TimesLTStd-Roman"/>
      <w:color w:val="000000"/>
      <w:sz w:val="16"/>
      <w:szCs w:val="16"/>
    </w:rPr>
  </w:style>
  <w:style w:type="paragraph" w:customStyle="1" w:styleId="ReferenceHeading">
    <w:name w:val="Reference Heading"/>
    <w:basedOn w:val="Normal"/>
    <w:next w:val="References"/>
    <w:rsid w:val="00765F5E"/>
    <w:pPr>
      <w:keepNext/>
      <w:spacing w:before="260" w:after="260"/>
      <w:ind w:firstLine="0"/>
      <w:jc w:val="center"/>
    </w:pPr>
    <w:rPr>
      <w:caps/>
    </w:rPr>
  </w:style>
  <w:style w:type="paragraph" w:customStyle="1" w:styleId="References">
    <w:name w:val="References"/>
    <w:basedOn w:val="Normal"/>
    <w:rsid w:val="00765F5E"/>
    <w:pPr>
      <w:widowControl w:val="0"/>
      <w:ind w:left="202" w:hanging="202"/>
    </w:pPr>
  </w:style>
  <w:style w:type="paragraph" w:customStyle="1" w:styleId="Footnote">
    <w:name w:val="Footnote"/>
    <w:basedOn w:val="Normal"/>
    <w:uiPriority w:val="99"/>
    <w:semiHidden/>
    <w:rsid w:val="00736295"/>
    <w:pPr>
      <w:widowControl w:val="0"/>
      <w:autoSpaceDE w:val="0"/>
      <w:autoSpaceDN w:val="0"/>
      <w:adjustRightInd w:val="0"/>
      <w:spacing w:line="180" w:lineRule="atLeast"/>
      <w:ind w:firstLine="200"/>
      <w:textAlignment w:val="center"/>
    </w:pPr>
    <w:rPr>
      <w:rFonts w:cs="TimesLTStd-Roman"/>
      <w:color w:val="000000"/>
      <w:sz w:val="16"/>
      <w:szCs w:val="16"/>
    </w:rPr>
  </w:style>
  <w:style w:type="paragraph" w:customStyle="1" w:styleId="Extract">
    <w:name w:val="Extract"/>
    <w:next w:val="Normal"/>
    <w:rsid w:val="00296186"/>
    <w:pPr>
      <w:spacing w:before="260" w:line="360" w:lineRule="auto"/>
      <w:ind w:left="245" w:right="245"/>
      <w:jc w:val="both"/>
    </w:pPr>
    <w:rPr>
      <w:rFonts w:ascii="Times New Roman" w:hAnsi="Times New Roman" w:cs="TimesLTStd-Italic"/>
      <w:i/>
      <w:iCs/>
      <w:color w:val="000000"/>
      <w:sz w:val="24"/>
    </w:rPr>
  </w:style>
  <w:style w:type="paragraph" w:customStyle="1" w:styleId="Tagline">
    <w:name w:val="Tagline"/>
    <w:basedOn w:val="Normal"/>
    <w:next w:val="Normal"/>
    <w:rsid w:val="00296186"/>
    <w:pPr>
      <w:spacing w:after="120"/>
      <w:ind w:left="245" w:right="245" w:firstLine="0"/>
      <w:jc w:val="right"/>
    </w:pPr>
    <w:rPr>
      <w:rFonts w:cs="TimesLTStd-Roman"/>
      <w:szCs w:val="20"/>
    </w:rPr>
  </w:style>
  <w:style w:type="paragraph" w:styleId="FootnoteText">
    <w:name w:val="footnote text"/>
    <w:basedOn w:val="Normal"/>
    <w:link w:val="FootnoteTextChar"/>
    <w:uiPriority w:val="99"/>
    <w:rsid w:val="00700B88"/>
    <w:pPr>
      <w:spacing w:line="180" w:lineRule="atLeast"/>
    </w:pPr>
    <w:rPr>
      <w:sz w:val="16"/>
    </w:rPr>
  </w:style>
  <w:style w:type="character" w:customStyle="1" w:styleId="FootnoteTextChar">
    <w:name w:val="Footnote Text Char"/>
    <w:basedOn w:val="DefaultParagraphFont"/>
    <w:link w:val="FootnoteText"/>
    <w:uiPriority w:val="99"/>
    <w:rsid w:val="00736295"/>
    <w:rPr>
      <w:rFonts w:ascii="Times New Roman" w:hAnsi="Times New Roman"/>
      <w:sz w:val="16"/>
      <w:szCs w:val="24"/>
    </w:rPr>
  </w:style>
  <w:style w:type="character" w:styleId="FootnoteReference">
    <w:name w:val="footnote reference"/>
    <w:basedOn w:val="DefaultParagraphFont"/>
    <w:uiPriority w:val="99"/>
    <w:rsid w:val="00700B88"/>
    <w:rPr>
      <w:rFonts w:ascii="Times New Roman" w:hAnsi="Times New Roman"/>
      <w:sz w:val="24"/>
      <w:bdr w:val="none" w:sz="0" w:space="0" w:color="auto"/>
      <w:vertAlign w:val="superscript"/>
    </w:rPr>
  </w:style>
  <w:style w:type="paragraph" w:customStyle="1" w:styleId="FigureCaption">
    <w:name w:val="Figure Caption"/>
    <w:basedOn w:val="Normal"/>
    <w:rsid w:val="00736295"/>
    <w:pPr>
      <w:keepLines/>
      <w:widowControl w:val="0"/>
      <w:suppressAutoHyphens/>
      <w:autoSpaceDE w:val="0"/>
      <w:autoSpaceDN w:val="0"/>
      <w:adjustRightInd w:val="0"/>
      <w:spacing w:after="80" w:line="180" w:lineRule="atLeast"/>
      <w:ind w:firstLine="0"/>
      <w:jc w:val="center"/>
      <w:textAlignment w:val="center"/>
    </w:pPr>
    <w:rPr>
      <w:rFonts w:cs="TimesLTStd-Roman"/>
      <w:smallCaps/>
      <w:color w:val="000000"/>
      <w:spacing w:val="-1"/>
      <w:w w:val="97"/>
      <w:sz w:val="16"/>
      <w:szCs w:val="16"/>
    </w:rPr>
  </w:style>
  <w:style w:type="paragraph" w:customStyle="1" w:styleId="FigureNotes">
    <w:name w:val="Figure Notes"/>
    <w:basedOn w:val="Normal"/>
    <w:next w:val="Normal"/>
    <w:rsid w:val="00736295"/>
    <w:pPr>
      <w:widowControl w:val="0"/>
      <w:tabs>
        <w:tab w:val="right" w:pos="440"/>
        <w:tab w:val="left" w:pos="480"/>
      </w:tabs>
      <w:autoSpaceDE w:val="0"/>
      <w:autoSpaceDN w:val="0"/>
      <w:adjustRightInd w:val="0"/>
      <w:spacing w:before="120" w:line="180" w:lineRule="atLeast"/>
      <w:ind w:firstLine="0"/>
      <w:textAlignment w:val="center"/>
    </w:pPr>
    <w:rPr>
      <w:rFonts w:cs="TimesLTStd-Roman"/>
      <w:color w:val="000000"/>
      <w:sz w:val="16"/>
      <w:szCs w:val="16"/>
    </w:rPr>
  </w:style>
  <w:style w:type="paragraph" w:customStyle="1" w:styleId="TableHeading">
    <w:name w:val="Table Heading"/>
    <w:basedOn w:val="Normal"/>
    <w:rsid w:val="0052428D"/>
    <w:pPr>
      <w:widowControl w:val="0"/>
      <w:pBdr>
        <w:bottom w:val="double" w:sz="2" w:space="1" w:color="auto"/>
      </w:pBdr>
      <w:suppressAutoHyphens/>
      <w:autoSpaceDE w:val="0"/>
      <w:autoSpaceDN w:val="0"/>
      <w:adjustRightInd w:val="0"/>
      <w:spacing w:line="180" w:lineRule="atLeast"/>
      <w:ind w:right="1260" w:firstLine="0"/>
      <w:jc w:val="center"/>
      <w:textAlignment w:val="center"/>
    </w:pPr>
    <w:rPr>
      <w:rFonts w:cs="TimesLTStd-Roman"/>
      <w:smallCaps/>
      <w:color w:val="000000"/>
      <w:spacing w:val="-1"/>
      <w:w w:val="97"/>
      <w:sz w:val="16"/>
      <w:szCs w:val="16"/>
    </w:rPr>
  </w:style>
  <w:style w:type="paragraph" w:customStyle="1" w:styleId="TableNotes">
    <w:name w:val="Table Notes"/>
    <w:basedOn w:val="Normal"/>
    <w:next w:val="Normal"/>
    <w:rsid w:val="00736295"/>
    <w:pPr>
      <w:widowControl w:val="0"/>
      <w:tabs>
        <w:tab w:val="right" w:pos="440"/>
        <w:tab w:val="left" w:pos="480"/>
      </w:tabs>
      <w:autoSpaceDE w:val="0"/>
      <w:autoSpaceDN w:val="0"/>
      <w:adjustRightInd w:val="0"/>
      <w:spacing w:before="120" w:line="180" w:lineRule="atLeast"/>
      <w:ind w:firstLine="0"/>
      <w:textAlignment w:val="center"/>
    </w:pPr>
    <w:rPr>
      <w:rFonts w:cs="TimesLTStd-Roman"/>
      <w:color w:val="000000"/>
      <w:sz w:val="16"/>
      <w:szCs w:val="16"/>
    </w:rPr>
  </w:style>
  <w:style w:type="paragraph" w:customStyle="1" w:styleId="TableText">
    <w:name w:val="Table Text"/>
    <w:basedOn w:val="Normal"/>
    <w:rsid w:val="00736295"/>
    <w:pPr>
      <w:widowControl w:val="0"/>
      <w:autoSpaceDE w:val="0"/>
      <w:autoSpaceDN w:val="0"/>
      <w:adjustRightInd w:val="0"/>
      <w:spacing w:line="180" w:lineRule="atLeast"/>
      <w:ind w:firstLine="0"/>
      <w:jc w:val="left"/>
      <w:textAlignment w:val="center"/>
    </w:pPr>
    <w:rPr>
      <w:rFonts w:cs="TimesLTStd-Roman"/>
      <w:color w:val="000000"/>
      <w:sz w:val="16"/>
      <w:szCs w:val="16"/>
    </w:rPr>
  </w:style>
  <w:style w:type="paragraph" w:styleId="ListNumber">
    <w:name w:val="List Number"/>
    <w:basedOn w:val="Normal"/>
    <w:next w:val="Normal"/>
    <w:semiHidden/>
    <w:rsid w:val="00765F5E"/>
    <w:pPr>
      <w:numPr>
        <w:numId w:val="2"/>
      </w:numPr>
      <w:tabs>
        <w:tab w:val="clear" w:pos="1195"/>
      </w:tabs>
      <w:spacing w:after="260"/>
      <w:ind w:left="990" w:hanging="587"/>
    </w:pPr>
  </w:style>
  <w:style w:type="paragraph" w:customStyle="1" w:styleId="FigurePlaceholder">
    <w:name w:val="Figure Placeholder"/>
    <w:basedOn w:val="Normal"/>
    <w:next w:val="Normal"/>
    <w:rsid w:val="00A438EC"/>
    <w:pPr>
      <w:spacing w:before="260" w:after="260"/>
      <w:jc w:val="center"/>
    </w:pPr>
    <w:rPr>
      <w:rFonts w:eastAsia="Calisto MT"/>
    </w:rPr>
  </w:style>
  <w:style w:type="paragraph" w:customStyle="1" w:styleId="TablePlaceholder">
    <w:name w:val="Table Placeholder"/>
    <w:basedOn w:val="FigurePlaceholder"/>
    <w:next w:val="Normal"/>
    <w:qFormat/>
    <w:rsid w:val="00A438EC"/>
  </w:style>
  <w:style w:type="character" w:customStyle="1" w:styleId="TableFootLetter">
    <w:name w:val="Table FootLetter"/>
    <w:basedOn w:val="DefaultParagraphFont"/>
    <w:rsid w:val="007F4207"/>
    <w:rPr>
      <w:rFonts w:ascii="Times New Roman" w:hAnsi="Times New Roman"/>
      <w:sz w:val="16"/>
      <w:bdr w:val="none" w:sz="0" w:space="0" w:color="auto"/>
      <w:vertAlign w:val="superscript"/>
    </w:rPr>
  </w:style>
  <w:style w:type="paragraph" w:customStyle="1" w:styleId="TableFootnote">
    <w:name w:val="Table Footnote"/>
    <w:basedOn w:val="TableNotes"/>
    <w:next w:val="TableNotes"/>
    <w:rsid w:val="007F4207"/>
    <w:pPr>
      <w:widowControl/>
      <w:tabs>
        <w:tab w:val="clear" w:pos="440"/>
        <w:tab w:val="clear" w:pos="480"/>
      </w:tabs>
      <w:autoSpaceDE/>
      <w:autoSpaceDN/>
      <w:adjustRightInd/>
      <w:ind w:right="720"/>
      <w:textAlignment w:val="auto"/>
    </w:pPr>
    <w:rPr>
      <w:rFonts w:eastAsia="Calisto MT"/>
    </w:rPr>
  </w:style>
  <w:style w:type="paragraph" w:styleId="Title">
    <w:name w:val="Title"/>
    <w:next w:val="Author"/>
    <w:link w:val="TitleChar"/>
    <w:qFormat/>
    <w:rsid w:val="0076059A"/>
    <w:pPr>
      <w:spacing w:after="300" w:line="360" w:lineRule="auto"/>
      <w:jc w:val="center"/>
    </w:pPr>
    <w:rPr>
      <w:rFonts w:ascii="Arial" w:eastAsia="Times New Roman" w:hAnsi="Arial"/>
      <w:bCs/>
      <w:color w:val="000000"/>
      <w:kern w:val="28"/>
      <w:sz w:val="28"/>
      <w:szCs w:val="32"/>
    </w:rPr>
  </w:style>
  <w:style w:type="character" w:customStyle="1" w:styleId="TitleChar">
    <w:name w:val="Title Char"/>
    <w:basedOn w:val="DefaultParagraphFont"/>
    <w:link w:val="Title"/>
    <w:rsid w:val="0076059A"/>
    <w:rPr>
      <w:rFonts w:ascii="Arial" w:eastAsia="Times New Roman" w:hAnsi="Arial"/>
      <w:bCs/>
      <w:color w:val="000000"/>
      <w:kern w:val="28"/>
      <w:sz w:val="28"/>
      <w:szCs w:val="32"/>
      <w:lang w:val="en-US" w:eastAsia="en-US" w:bidi="ar-SA"/>
    </w:rPr>
  </w:style>
  <w:style w:type="paragraph" w:styleId="Header">
    <w:name w:val="header"/>
    <w:basedOn w:val="Normal"/>
    <w:link w:val="HeaderChar"/>
    <w:uiPriority w:val="99"/>
    <w:semiHidden/>
    <w:rsid w:val="008A4ECD"/>
    <w:pPr>
      <w:tabs>
        <w:tab w:val="center" w:pos="4320"/>
        <w:tab w:val="right" w:pos="8640"/>
      </w:tabs>
    </w:pPr>
  </w:style>
  <w:style w:type="character" w:customStyle="1" w:styleId="HeaderChar">
    <w:name w:val="Header Char"/>
    <w:basedOn w:val="DefaultParagraphFont"/>
    <w:link w:val="Header"/>
    <w:uiPriority w:val="99"/>
    <w:semiHidden/>
    <w:rsid w:val="00EE40C8"/>
    <w:rPr>
      <w:rFonts w:ascii="Times New Roman" w:hAnsi="Times New Roman"/>
      <w:sz w:val="24"/>
      <w:szCs w:val="24"/>
    </w:rPr>
  </w:style>
  <w:style w:type="paragraph" w:styleId="ListBullet">
    <w:name w:val="List Bullet"/>
    <w:basedOn w:val="Normal"/>
    <w:next w:val="Normal"/>
    <w:semiHidden/>
    <w:rsid w:val="00765F5E"/>
    <w:pPr>
      <w:numPr>
        <w:numId w:val="9"/>
      </w:numPr>
      <w:ind w:left="605" w:hanging="202"/>
      <w:contextualSpacing/>
    </w:pPr>
  </w:style>
  <w:style w:type="character" w:customStyle="1" w:styleId="Heading5Char">
    <w:name w:val="Heading 5 Char"/>
    <w:basedOn w:val="DefaultParagraphFont"/>
    <w:link w:val="Heading5"/>
    <w:uiPriority w:val="99"/>
    <w:semiHidden/>
    <w:rsid w:val="00EE40C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rsid w:val="00EE40C8"/>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semiHidden/>
    <w:rsid w:val="00EE40C8"/>
    <w:rPr>
      <w:rFonts w:ascii="Calibri" w:eastAsia="Times New Roman" w:hAnsi="Calibri" w:cs="Times New Roman"/>
      <w:sz w:val="24"/>
      <w:szCs w:val="24"/>
    </w:rPr>
  </w:style>
  <w:style w:type="character" w:customStyle="1" w:styleId="Heading8Char">
    <w:name w:val="Heading 8 Char"/>
    <w:basedOn w:val="DefaultParagraphFont"/>
    <w:link w:val="Heading8"/>
    <w:uiPriority w:val="99"/>
    <w:semiHidden/>
    <w:rsid w:val="00EE40C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9"/>
    <w:semiHidden/>
    <w:rsid w:val="00EE40C8"/>
    <w:rPr>
      <w:rFonts w:ascii="Cambria" w:eastAsia="Times New Roman" w:hAnsi="Cambria" w:cs="Times New Roman"/>
      <w:sz w:val="22"/>
      <w:szCs w:val="22"/>
    </w:rPr>
  </w:style>
  <w:style w:type="paragraph" w:styleId="Subtitle">
    <w:name w:val="Subtitle"/>
    <w:basedOn w:val="Normal"/>
    <w:next w:val="Normal"/>
    <w:link w:val="SubtitleChar"/>
    <w:uiPriority w:val="99"/>
    <w:qFormat/>
    <w:rsid w:val="00EE40C8"/>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99"/>
    <w:semiHidden/>
    <w:rsid w:val="00EE40C8"/>
    <w:rPr>
      <w:rFonts w:ascii="Cambria" w:eastAsia="Times New Roman" w:hAnsi="Cambria" w:cs="Times New Roman"/>
      <w:sz w:val="24"/>
      <w:szCs w:val="24"/>
    </w:rPr>
  </w:style>
  <w:style w:type="paragraph" w:customStyle="1" w:styleId="MediumGrid21">
    <w:name w:val="Medium Grid 21"/>
    <w:uiPriority w:val="99"/>
    <w:semiHidden/>
    <w:rsid w:val="00EE40C8"/>
    <w:pPr>
      <w:ind w:firstLine="202"/>
      <w:jc w:val="both"/>
    </w:pPr>
    <w:rPr>
      <w:rFonts w:ascii="Times New Roman" w:hAnsi="Times New Roman"/>
      <w:sz w:val="24"/>
      <w:szCs w:val="24"/>
    </w:rPr>
  </w:style>
  <w:style w:type="character" w:customStyle="1" w:styleId="PlainTable31">
    <w:name w:val="Plain Table 31"/>
    <w:basedOn w:val="DefaultParagraphFont"/>
    <w:uiPriority w:val="99"/>
    <w:semiHidden/>
    <w:rsid w:val="00EE40C8"/>
    <w:rPr>
      <w:i/>
      <w:iCs/>
      <w:color w:val="808080"/>
    </w:rPr>
  </w:style>
  <w:style w:type="character" w:customStyle="1" w:styleId="PlainTable51">
    <w:name w:val="Plain Table 51"/>
    <w:basedOn w:val="DefaultParagraphFont"/>
    <w:uiPriority w:val="99"/>
    <w:semiHidden/>
    <w:rsid w:val="00EE40C8"/>
    <w:rPr>
      <w:smallCaps/>
      <w:color w:val="C0504D"/>
      <w:u w:val="single"/>
    </w:rPr>
  </w:style>
  <w:style w:type="paragraph" w:customStyle="1" w:styleId="GridTable31">
    <w:name w:val="Grid Table 31"/>
    <w:basedOn w:val="Heading1"/>
    <w:next w:val="Normal"/>
    <w:uiPriority w:val="99"/>
    <w:semiHidden/>
    <w:unhideWhenUsed/>
    <w:rsid w:val="00EE40C8"/>
    <w:pPr>
      <w:keepLines w:val="0"/>
      <w:spacing w:before="240" w:after="60"/>
      <w:ind w:firstLine="202"/>
      <w:contextualSpacing w:val="0"/>
      <w:jc w:val="both"/>
      <w:outlineLvl w:val="9"/>
    </w:pPr>
    <w:rPr>
      <w:rFonts w:ascii="Cambria" w:hAnsi="Cambria"/>
      <w:color w:val="auto"/>
      <w:sz w:val="32"/>
    </w:rPr>
  </w:style>
  <w:style w:type="character" w:styleId="Hyperlink">
    <w:name w:val="Hyperlink"/>
    <w:basedOn w:val="DefaultParagraphFont"/>
    <w:uiPriority w:val="99"/>
    <w:semiHidden/>
    <w:rsid w:val="00D63B2D"/>
    <w:rPr>
      <w:color w:val="0563C1" w:themeColor="hyperlink"/>
      <w:u w:val="single"/>
    </w:rPr>
  </w:style>
  <w:style w:type="character" w:styleId="UnresolvedMention">
    <w:name w:val="Unresolved Mention"/>
    <w:basedOn w:val="DefaultParagraphFont"/>
    <w:uiPriority w:val="99"/>
    <w:semiHidden/>
    <w:unhideWhenUsed/>
    <w:rsid w:val="00D63B2D"/>
    <w:rPr>
      <w:color w:val="605E5C"/>
      <w:shd w:val="clear" w:color="auto" w:fill="E1DFDD"/>
    </w:rPr>
  </w:style>
  <w:style w:type="paragraph" w:styleId="Footer">
    <w:name w:val="footer"/>
    <w:basedOn w:val="Normal"/>
    <w:link w:val="FooterChar"/>
    <w:uiPriority w:val="99"/>
    <w:rsid w:val="00667803"/>
    <w:pPr>
      <w:tabs>
        <w:tab w:val="center" w:pos="4680"/>
        <w:tab w:val="right" w:pos="9360"/>
      </w:tabs>
    </w:pPr>
  </w:style>
  <w:style w:type="character" w:customStyle="1" w:styleId="FooterChar">
    <w:name w:val="Footer Char"/>
    <w:basedOn w:val="DefaultParagraphFont"/>
    <w:link w:val="Footer"/>
    <w:uiPriority w:val="99"/>
    <w:rsid w:val="00667803"/>
    <w:rPr>
      <w:rFonts w:ascii="Times New Roman" w:hAnsi="Times New Roman"/>
      <w:sz w:val="24"/>
      <w:szCs w:val="24"/>
    </w:rPr>
  </w:style>
  <w:style w:type="character" w:styleId="PlaceholderText">
    <w:name w:val="Placeholder Text"/>
    <w:basedOn w:val="DefaultParagraphFont"/>
    <w:uiPriority w:val="99"/>
    <w:semiHidden/>
    <w:rsid w:val="00DD6AEA"/>
    <w:rPr>
      <w:color w:val="808080"/>
    </w:rPr>
  </w:style>
  <w:style w:type="paragraph" w:styleId="BalloonText">
    <w:name w:val="Balloon Text"/>
    <w:basedOn w:val="Normal"/>
    <w:link w:val="BalloonTextChar"/>
    <w:uiPriority w:val="99"/>
    <w:semiHidden/>
    <w:rsid w:val="00EB2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7E7"/>
    <w:rPr>
      <w:rFonts w:ascii="Segoe UI" w:hAnsi="Segoe UI" w:cs="Segoe UI"/>
      <w:sz w:val="18"/>
      <w:szCs w:val="18"/>
    </w:rPr>
  </w:style>
  <w:style w:type="character" w:styleId="CommentReference">
    <w:name w:val="annotation reference"/>
    <w:basedOn w:val="DefaultParagraphFont"/>
    <w:uiPriority w:val="99"/>
    <w:semiHidden/>
    <w:rsid w:val="006937DD"/>
    <w:rPr>
      <w:sz w:val="16"/>
      <w:szCs w:val="16"/>
    </w:rPr>
  </w:style>
  <w:style w:type="paragraph" w:styleId="CommentText">
    <w:name w:val="annotation text"/>
    <w:basedOn w:val="Normal"/>
    <w:link w:val="CommentTextChar"/>
    <w:uiPriority w:val="99"/>
    <w:semiHidden/>
    <w:rsid w:val="006937DD"/>
    <w:rPr>
      <w:sz w:val="20"/>
      <w:szCs w:val="20"/>
    </w:rPr>
  </w:style>
  <w:style w:type="character" w:customStyle="1" w:styleId="CommentTextChar">
    <w:name w:val="Comment Text Char"/>
    <w:basedOn w:val="DefaultParagraphFont"/>
    <w:link w:val="CommentText"/>
    <w:uiPriority w:val="99"/>
    <w:semiHidden/>
    <w:rsid w:val="006937DD"/>
    <w:rPr>
      <w:rFonts w:ascii="Times New Roman" w:hAnsi="Times New Roman"/>
    </w:rPr>
  </w:style>
  <w:style w:type="paragraph" w:styleId="CommentSubject">
    <w:name w:val="annotation subject"/>
    <w:basedOn w:val="CommentText"/>
    <w:next w:val="CommentText"/>
    <w:link w:val="CommentSubjectChar"/>
    <w:uiPriority w:val="99"/>
    <w:semiHidden/>
    <w:rsid w:val="006937DD"/>
    <w:rPr>
      <w:b/>
      <w:bCs/>
    </w:rPr>
  </w:style>
  <w:style w:type="character" w:customStyle="1" w:styleId="CommentSubjectChar">
    <w:name w:val="Comment Subject Char"/>
    <w:basedOn w:val="CommentTextChar"/>
    <w:link w:val="CommentSubject"/>
    <w:uiPriority w:val="99"/>
    <w:semiHidden/>
    <w:rsid w:val="006937DD"/>
    <w:rPr>
      <w:rFonts w:ascii="Times New Roman" w:hAnsi="Times New Roman"/>
      <w:b/>
      <w:bCs/>
    </w:rPr>
  </w:style>
  <w:style w:type="paragraph" w:styleId="Revision">
    <w:name w:val="Revision"/>
    <w:hidden/>
    <w:rsid w:val="006937DD"/>
    <w:rPr>
      <w:rFonts w:ascii="Times New Roman" w:hAnsi="Times New Roman"/>
      <w:sz w:val="24"/>
      <w:szCs w:val="24"/>
    </w:rPr>
  </w:style>
  <w:style w:type="table" w:customStyle="1" w:styleId="1">
    <w:name w:val="1"/>
    <w:basedOn w:val="TableNormal"/>
    <w:rsid w:val="00391E57"/>
    <w:pPr>
      <w:spacing w:line="276" w:lineRule="auto"/>
    </w:pPr>
    <w:rPr>
      <w:rFonts w:ascii="Arial" w:hAnsi="Arial" w:cs="Arial"/>
      <w:sz w:val="22"/>
      <w:szCs w:val="22"/>
    </w:rPr>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91E57"/>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E57"/>
    <w:pPr>
      <w:spacing w:line="276" w:lineRule="auto"/>
      <w:ind w:left="720" w:firstLine="0"/>
      <w:contextualSpacing/>
      <w:jc w:val="lef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7947">
      <w:bodyDiv w:val="1"/>
      <w:marLeft w:val="0"/>
      <w:marRight w:val="0"/>
      <w:marTop w:val="0"/>
      <w:marBottom w:val="0"/>
      <w:divBdr>
        <w:top w:val="none" w:sz="0" w:space="0" w:color="auto"/>
        <w:left w:val="none" w:sz="0" w:space="0" w:color="auto"/>
        <w:bottom w:val="none" w:sz="0" w:space="0" w:color="auto"/>
        <w:right w:val="none" w:sz="0" w:space="0" w:color="auto"/>
      </w:divBdr>
    </w:div>
    <w:div w:id="1081440627">
      <w:bodyDiv w:val="1"/>
      <w:marLeft w:val="0"/>
      <w:marRight w:val="0"/>
      <w:marTop w:val="0"/>
      <w:marBottom w:val="0"/>
      <w:divBdr>
        <w:top w:val="none" w:sz="0" w:space="0" w:color="auto"/>
        <w:left w:val="none" w:sz="0" w:space="0" w:color="auto"/>
        <w:bottom w:val="none" w:sz="0" w:space="0" w:color="auto"/>
        <w:right w:val="none" w:sz="0" w:space="0" w:color="auto"/>
      </w:divBdr>
    </w:div>
    <w:div w:id="185283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nyder_Work\Current%20Research\Vaccines\AMC\AER%20P&amp;P\P&amp;P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3DB84-8735-4E92-8217-A87B6F3FA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P&amp;P_Word_template.dot</Template>
  <TotalTime>1</TotalTime>
  <Pages>9</Pages>
  <Words>3576</Words>
  <Characters>20046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AEA Publications</Company>
  <LinksUpToDate>false</LinksUpToDate>
  <CharactersWithSpaces>23575</CharactersWithSpaces>
  <SharedDoc>false</SharedDoc>
  <HLinks>
    <vt:vector size="6" baseType="variant">
      <vt:variant>
        <vt:i4>7602240</vt:i4>
      </vt:variant>
      <vt:variant>
        <vt:i4>5831</vt:i4>
      </vt:variant>
      <vt:variant>
        <vt:i4>1025</vt:i4>
      </vt:variant>
      <vt:variant>
        <vt:i4>1</vt:i4>
      </vt:variant>
      <vt:variant>
        <vt:lpwstr>20081134Figure3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 Snyder</dc:creator>
  <cp:keywords/>
  <cp:lastModifiedBy>Jeanne Winner</cp:lastModifiedBy>
  <cp:revision>2</cp:revision>
  <cp:lastPrinted>2020-01-09T15:27:00Z</cp:lastPrinted>
  <dcterms:created xsi:type="dcterms:W3CDTF">2020-02-11T21:28:00Z</dcterms:created>
  <dcterms:modified xsi:type="dcterms:W3CDTF">2020-02-11T21:28:00Z</dcterms:modified>
</cp:coreProperties>
</file>